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4B" w:rsidRPr="003121EB" w:rsidRDefault="00195A4B" w:rsidP="00195A4B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3121EB">
        <w:rPr>
          <w:rFonts w:ascii="Arial" w:hAnsi="Arial" w:cs="Arial"/>
          <w:color w:val="000000" w:themeColor="text1"/>
          <w:sz w:val="54"/>
          <w:szCs w:val="54"/>
        </w:rPr>
        <w:t xml:space="preserve">Lic. Adrián Rafael López </w:t>
      </w:r>
      <w:proofErr w:type="spellStart"/>
      <w:r w:rsidRPr="003121EB">
        <w:rPr>
          <w:rFonts w:ascii="Arial" w:hAnsi="Arial" w:cs="Arial"/>
          <w:color w:val="000000" w:themeColor="text1"/>
          <w:sz w:val="54"/>
          <w:szCs w:val="54"/>
        </w:rPr>
        <w:t>Náñez</w:t>
      </w:r>
      <w:proofErr w:type="spellEnd"/>
      <w:r w:rsidRPr="003121EB">
        <w:rPr>
          <w:rFonts w:ascii="Arial" w:hAnsi="Arial" w:cs="Arial"/>
          <w:color w:val="000000" w:themeColor="text1"/>
          <w:sz w:val="54"/>
          <w:szCs w:val="54"/>
        </w:rPr>
        <w:t>.</w:t>
      </w:r>
    </w:p>
    <w:p w:rsidR="00195A4B" w:rsidRPr="003121EB" w:rsidRDefault="00195A4B" w:rsidP="003121E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121EB">
        <w:rPr>
          <w:rFonts w:ascii="Arial" w:hAnsi="Arial" w:cs="Arial"/>
          <w:color w:val="000000" w:themeColor="text1"/>
          <w:shd w:val="clear" w:color="auto" w:fill="FFFFFF"/>
        </w:rPr>
        <w:t xml:space="preserve">Fue designado </w:t>
      </w:r>
      <w:r w:rsidR="008D7668">
        <w:rPr>
          <w:rFonts w:ascii="Arial" w:hAnsi="Arial" w:cs="Arial"/>
          <w:color w:val="000000" w:themeColor="text1"/>
          <w:shd w:val="clear" w:color="auto" w:fill="FFFFFF"/>
        </w:rPr>
        <w:t xml:space="preserve">como Jefe </w:t>
      </w:r>
      <w:r w:rsidRPr="003121EB">
        <w:rPr>
          <w:rFonts w:ascii="Arial" w:hAnsi="Arial" w:cs="Arial"/>
          <w:color w:val="000000" w:themeColor="text1"/>
          <w:shd w:val="clear" w:color="auto" w:fill="FFFFFF"/>
        </w:rPr>
        <w:t xml:space="preserve">Jurídico de la Dirección de Infancia y Familia del </w:t>
      </w:r>
      <w:r w:rsidR="000A7115" w:rsidRPr="003121EB">
        <w:rPr>
          <w:rFonts w:ascii="Arial" w:hAnsi="Arial" w:cs="Arial"/>
          <w:color w:val="000000" w:themeColor="text1"/>
          <w:shd w:val="clear" w:color="auto" w:fill="FFFFFF"/>
        </w:rPr>
        <w:t>Sistema para el Desarrollo Integral de la Familia del Municipio de Monterrey.</w:t>
      </w:r>
    </w:p>
    <w:p w:rsidR="00195A4B" w:rsidRPr="003121EB" w:rsidRDefault="00195A4B" w:rsidP="00195A4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121EB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</w:p>
    <w:p w:rsidR="008212B6" w:rsidRPr="003121EB" w:rsidRDefault="009F28B8" w:rsidP="008212B6">
      <w:pPr>
        <w:pStyle w:val="sangria"/>
        <w:shd w:val="clear" w:color="auto" w:fill="FFFFFF"/>
        <w:spacing w:before="0" w:beforeAutospacing="0" w:after="225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3121EB">
        <w:rPr>
          <w:rFonts w:ascii="Arial" w:hAnsi="Arial" w:cs="Arial"/>
          <w:color w:val="000000" w:themeColor="text1"/>
        </w:rPr>
        <w:t xml:space="preserve">Egresado como </w:t>
      </w:r>
      <w:r w:rsidR="00195A4B" w:rsidRPr="003121EB">
        <w:rPr>
          <w:rFonts w:ascii="Arial" w:hAnsi="Arial" w:cs="Arial"/>
          <w:color w:val="000000" w:themeColor="text1"/>
        </w:rPr>
        <w:t>Lic. En Derecho por la Universidad de Monterrey 2002-2007</w:t>
      </w:r>
      <w:r w:rsidR="008212B6" w:rsidRPr="003121EB">
        <w:rPr>
          <w:rFonts w:ascii="Arial" w:hAnsi="Arial" w:cs="Arial"/>
          <w:color w:val="000000" w:themeColor="text1"/>
        </w:rPr>
        <w:t xml:space="preserve"> y actualmente se encuentra cursando la maestría de Derecho con Orientación en Constitucional, Derechos Humanos y Amparo en la Universidad del Valle de México.</w:t>
      </w:r>
    </w:p>
    <w:p w:rsidR="00195A4B" w:rsidRPr="003121EB" w:rsidRDefault="00195A4B" w:rsidP="00195A4B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95A4B" w:rsidRPr="003121EB" w:rsidRDefault="00195A4B" w:rsidP="00195A4B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  <w:r w:rsidRPr="003121EB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</w:p>
    <w:p w:rsidR="00195A4B" w:rsidRPr="003121EB" w:rsidRDefault="008212B6" w:rsidP="00B6488B">
      <w:pPr>
        <w:autoSpaceDE w:val="0"/>
        <w:autoSpaceDN w:val="0"/>
        <w:adjustRightInd w:val="0"/>
        <w:spacing w:after="225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Participó en el 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Ciclo de conferencias sobre la reforma al artículo sexto </w:t>
      </w:r>
      <w:r w:rsidR="00B6488B" w:rsidRPr="003121EB">
        <w:rPr>
          <w:rFonts w:ascii="Arial" w:hAnsi="Arial" w:cs="Arial"/>
          <w:color w:val="000000" w:themeColor="text1"/>
          <w:sz w:val="24"/>
          <w:szCs w:val="24"/>
        </w:rPr>
        <w:t xml:space="preserve">constitucional 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(implicaciones a nivel Estatal y Municipal) por la Comisión de Acceso a la Información Pública de Nuevo León y The Nation Security Archive The George Washington University. </w:t>
      </w:r>
    </w:p>
    <w:p w:rsidR="00195A4B" w:rsidRPr="003121EB" w:rsidRDefault="00195A4B" w:rsidP="00195A4B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95A4B" w:rsidRPr="003121EB" w:rsidRDefault="00195A4B" w:rsidP="00195A4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121EB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Profesionales</w:t>
      </w:r>
    </w:p>
    <w:p w:rsidR="00195A4B" w:rsidRPr="003121EB" w:rsidRDefault="00195A4B" w:rsidP="00195A4B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5A4B" w:rsidRPr="003121EB" w:rsidRDefault="00195A4B" w:rsidP="00195A4B">
      <w:pPr>
        <w:spacing w:after="2" w:line="259" w:lineRule="auto"/>
        <w:ind w:left="59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b/>
          <w:color w:val="000000" w:themeColor="text1"/>
          <w:sz w:val="24"/>
          <w:szCs w:val="24"/>
        </w:rPr>
        <w:t>ASESOR POLÍTICO DE BAD PANDA PRODUCCIONES.</w:t>
      </w:r>
    </w:p>
    <w:p w:rsidR="009F28B8" w:rsidRPr="003121EB" w:rsidRDefault="009F28B8" w:rsidP="003121EB">
      <w:pPr>
        <w:autoSpaceDE w:val="0"/>
        <w:autoSpaceDN w:val="0"/>
        <w:adjustRightInd w:val="0"/>
        <w:spacing w:after="225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Trabajó como 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Coordinador General de campaña de Armando Víctor Gutiérrez Canales, candidato a Diputado por el distrito 21 local por parte del partido político Movimiento Ciudadano. 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>En el cuál realizo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 las siguientes actividades: Elaboración y seguimiento de agenda del candidato organización y realización de eventos con programas de televisión, radio, asociaciones civ empresarios, etc. Marzo 2021 a </w:t>
      </w:r>
      <w:r w:rsidR="003121EB" w:rsidRPr="003121EB">
        <w:rPr>
          <w:rFonts w:ascii="Arial" w:hAnsi="Arial" w:cs="Arial"/>
          <w:color w:val="000000" w:themeColor="text1"/>
          <w:sz w:val="24"/>
          <w:szCs w:val="24"/>
        </w:rPr>
        <w:t>junio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 2021.</w:t>
      </w:r>
    </w:p>
    <w:p w:rsidR="003121EB" w:rsidRDefault="003121EB" w:rsidP="003121EB">
      <w:pPr>
        <w:spacing w:after="2" w:line="259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F28B8" w:rsidRPr="003121EB" w:rsidRDefault="00195A4B" w:rsidP="003121EB">
      <w:pPr>
        <w:spacing w:after="2" w:line="259" w:lineRule="auto"/>
        <w:ind w:left="5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b/>
          <w:color w:val="000000" w:themeColor="text1"/>
          <w:sz w:val="24"/>
          <w:szCs w:val="24"/>
        </w:rPr>
        <w:t>ASESOR INMOBILIARIO DE SOTHEBY´S REALTY MONTERREY.</w:t>
      </w:r>
    </w:p>
    <w:p w:rsidR="00195A4B" w:rsidRPr="003121EB" w:rsidRDefault="009F28B8" w:rsidP="003121EB">
      <w:pPr>
        <w:autoSpaceDE w:val="0"/>
        <w:autoSpaceDN w:val="0"/>
        <w:adjustRightInd w:val="0"/>
        <w:spacing w:after="225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Ejerció como 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>Asesor inmobiliario, especialista en la Compra-Venta y Renta de propiedades, terrenos, ranchos bodegas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>, etc. Así mismo, también brindó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 asesoría jurídica en todo lo referente al derecho inmobiliario. Marzo 2019 a </w:t>
      </w:r>
      <w:r w:rsidR="003121EB" w:rsidRPr="003121EB">
        <w:rPr>
          <w:rFonts w:ascii="Arial" w:hAnsi="Arial" w:cs="Arial"/>
          <w:color w:val="000000" w:themeColor="text1"/>
          <w:sz w:val="24"/>
          <w:szCs w:val="24"/>
        </w:rPr>
        <w:t>diciembre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 2020.</w:t>
      </w:r>
    </w:p>
    <w:p w:rsidR="00195A4B" w:rsidRPr="003121EB" w:rsidRDefault="00195A4B" w:rsidP="003121EB">
      <w:pPr>
        <w:spacing w:after="2" w:line="259" w:lineRule="auto"/>
        <w:ind w:left="59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5A4B" w:rsidRPr="003121EB" w:rsidRDefault="009F28B8" w:rsidP="003121EB">
      <w:pPr>
        <w:spacing w:after="2" w:line="259" w:lineRule="auto"/>
        <w:ind w:left="59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b/>
          <w:color w:val="000000" w:themeColor="text1"/>
          <w:sz w:val="24"/>
          <w:szCs w:val="24"/>
        </w:rPr>
        <w:t>NEGOCIO PROPIO.</w:t>
      </w:r>
    </w:p>
    <w:p w:rsidR="00195A4B" w:rsidRPr="003121EB" w:rsidRDefault="00195A4B" w:rsidP="003121EB">
      <w:pPr>
        <w:spacing w:after="2" w:line="259" w:lineRule="auto"/>
        <w:ind w:left="5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>Como apasionado del bienestar físico de las per</w:t>
      </w:r>
      <w:r w:rsidR="009F28B8" w:rsidRPr="003121EB">
        <w:rPr>
          <w:rFonts w:ascii="Arial" w:hAnsi="Arial" w:cs="Arial"/>
          <w:color w:val="000000" w:themeColor="text1"/>
          <w:sz w:val="24"/>
          <w:szCs w:val="24"/>
        </w:rPr>
        <w:t xml:space="preserve">sonas y de los deportes, decidió 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>emprende</w:t>
      </w:r>
      <w:r w:rsidR="009F28B8" w:rsidRPr="003121EB">
        <w:rPr>
          <w:rFonts w:ascii="Arial" w:hAnsi="Arial" w:cs="Arial"/>
          <w:color w:val="000000" w:themeColor="text1"/>
          <w:sz w:val="24"/>
          <w:szCs w:val="24"/>
        </w:rPr>
        <w:t>r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 ese rubro al abrir dos gimnasios de crossfit, posteriormente en el 2015 me asocié con el dueño del gimnasio training </w:t>
      </w:r>
      <w:proofErr w:type="spellStart"/>
      <w:r w:rsidRPr="003121EB">
        <w:rPr>
          <w:rFonts w:ascii="Arial" w:hAnsi="Arial" w:cs="Arial"/>
          <w:color w:val="000000" w:themeColor="text1"/>
          <w:sz w:val="24"/>
          <w:szCs w:val="24"/>
        </w:rPr>
        <w:t>brothers</w:t>
      </w:r>
      <w:proofErr w:type="spellEnd"/>
      <w:r w:rsidRPr="003121EB">
        <w:rPr>
          <w:rFonts w:ascii="Arial" w:hAnsi="Arial" w:cs="Arial"/>
          <w:color w:val="000000" w:themeColor="text1"/>
          <w:sz w:val="24"/>
          <w:szCs w:val="24"/>
        </w:rPr>
        <w:t>, en donde estuvimos impartiendo clases presenciales a niños, adolescentes, adultos y adultos mayores.</w:t>
      </w:r>
    </w:p>
    <w:p w:rsidR="00B6488B" w:rsidRPr="003121EB" w:rsidRDefault="003121EB" w:rsidP="003121EB">
      <w:pPr>
        <w:spacing w:after="2" w:line="259" w:lineRule="auto"/>
        <w:ind w:left="5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B6488B" w:rsidRPr="003121EB">
        <w:rPr>
          <w:rFonts w:ascii="Arial" w:hAnsi="Arial" w:cs="Arial"/>
          <w:color w:val="000000" w:themeColor="text1"/>
          <w:sz w:val="24"/>
          <w:szCs w:val="24"/>
        </w:rPr>
        <w:t xml:space="preserve">gosto 2012 a 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>diciembre</w:t>
      </w:r>
      <w:r w:rsidR="00B6488B" w:rsidRPr="003121EB">
        <w:rPr>
          <w:rFonts w:ascii="Arial" w:hAnsi="Arial" w:cs="Arial"/>
          <w:color w:val="000000" w:themeColor="text1"/>
          <w:sz w:val="24"/>
          <w:szCs w:val="24"/>
        </w:rPr>
        <w:t xml:space="preserve"> 2020.</w:t>
      </w:r>
    </w:p>
    <w:p w:rsidR="000702B1" w:rsidRPr="003121EB" w:rsidRDefault="000702B1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5A4B" w:rsidRPr="003121EB" w:rsidRDefault="00195A4B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b/>
          <w:color w:val="000000" w:themeColor="text1"/>
          <w:sz w:val="24"/>
          <w:szCs w:val="24"/>
        </w:rPr>
        <w:t>AUDITOR DE GRUPO FINANCIERO BANORTE.</w:t>
      </w:r>
    </w:p>
    <w:p w:rsidR="00195A4B" w:rsidRPr="003121EB" w:rsidRDefault="009F28B8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>En la cual desempeñó</w:t>
      </w:r>
      <w:r w:rsidR="00195A4B" w:rsidRPr="003121EB">
        <w:rPr>
          <w:rFonts w:ascii="Arial" w:hAnsi="Arial" w:cs="Arial"/>
          <w:color w:val="000000" w:themeColor="text1"/>
          <w:sz w:val="24"/>
          <w:szCs w:val="24"/>
        </w:rPr>
        <w:t xml:space="preserve"> las siguientes actividades: Realización de las funciones de revisión proceso crediticio desde el otorgamiento hasta su finiquito de acuerdo con la normatividad interna y externa, que lo rige; así como la revisión de la cartera crediticia de, Arrendado Factoraje Banorte, enfocadas al cumplimiento con la normatividad y la exposición al riesgo diversas funciones de apoyo dentro del área de auditoría todas enfocadas al cumplimiento d normatividad.</w:t>
      </w:r>
    </w:p>
    <w:p w:rsidR="00B6488B" w:rsidRPr="003121EB" w:rsidRDefault="00B6488B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Febrero 2010 a </w:t>
      </w:r>
      <w:r w:rsidR="003121EB" w:rsidRPr="003121EB">
        <w:rPr>
          <w:rFonts w:ascii="Arial" w:hAnsi="Arial" w:cs="Arial"/>
          <w:color w:val="000000" w:themeColor="text1"/>
          <w:sz w:val="24"/>
          <w:szCs w:val="24"/>
        </w:rPr>
        <w:t>junio</w:t>
      </w:r>
      <w:r w:rsidRPr="003121EB">
        <w:rPr>
          <w:rFonts w:ascii="Arial" w:hAnsi="Arial" w:cs="Arial"/>
          <w:color w:val="000000" w:themeColor="text1"/>
          <w:sz w:val="24"/>
          <w:szCs w:val="24"/>
        </w:rPr>
        <w:t xml:space="preserve"> 2012.</w:t>
      </w:r>
    </w:p>
    <w:p w:rsidR="00B6488B" w:rsidRPr="003121EB" w:rsidRDefault="00B6488B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488B" w:rsidRPr="003121EB" w:rsidRDefault="00B6488B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488B" w:rsidRPr="003121EB" w:rsidRDefault="00B6488B" w:rsidP="00195A4B">
      <w:pPr>
        <w:spacing w:after="192" w:line="240" w:lineRule="auto"/>
        <w:ind w:right="23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b/>
          <w:color w:val="000000" w:themeColor="text1"/>
          <w:sz w:val="24"/>
          <w:szCs w:val="24"/>
        </w:rPr>
        <w:t>ANALISTA JURÍDICO DE LA NOTARIA PÚBLICA 120.</w:t>
      </w:r>
    </w:p>
    <w:p w:rsidR="00195A4B" w:rsidRPr="003121EB" w:rsidRDefault="009F28B8" w:rsidP="008D7668">
      <w:pPr>
        <w:spacing w:after="192" w:line="240" w:lineRule="auto"/>
        <w:ind w:right="2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1EB">
        <w:rPr>
          <w:rFonts w:ascii="Arial" w:hAnsi="Arial" w:cs="Arial"/>
          <w:color w:val="000000" w:themeColor="text1"/>
          <w:sz w:val="24"/>
          <w:szCs w:val="24"/>
        </w:rPr>
        <w:t>En la cual trabajó en la e</w:t>
      </w:r>
      <w:r w:rsidR="00B6488B" w:rsidRPr="003121EB">
        <w:rPr>
          <w:rFonts w:ascii="Arial" w:hAnsi="Arial" w:cs="Arial"/>
          <w:color w:val="000000" w:themeColor="text1"/>
          <w:sz w:val="24"/>
          <w:szCs w:val="24"/>
        </w:rPr>
        <w:t>laboración de: Poderes, contratos de compraventa, contratos de donación, ratificaciones documentos, cartas poder, elaboración de constitutivas, certificación de documentos, gestiones en registro público y tesorerías municipales del Estado.</w:t>
      </w:r>
      <w:r w:rsidR="008D76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7F2EF8" w:rsidRPr="003121EB">
        <w:rPr>
          <w:rFonts w:ascii="Arial" w:hAnsi="Arial" w:cs="Arial"/>
          <w:color w:val="000000" w:themeColor="text1"/>
          <w:sz w:val="24"/>
          <w:szCs w:val="24"/>
        </w:rPr>
        <w:t xml:space="preserve">Junio 2009 a </w:t>
      </w:r>
      <w:r w:rsidR="003121EB" w:rsidRPr="003121EB">
        <w:rPr>
          <w:rFonts w:ascii="Arial" w:hAnsi="Arial" w:cs="Arial"/>
          <w:color w:val="000000" w:themeColor="text1"/>
          <w:sz w:val="24"/>
          <w:szCs w:val="24"/>
        </w:rPr>
        <w:t>febrero</w:t>
      </w:r>
      <w:r w:rsidR="007F2EF8" w:rsidRPr="003121EB">
        <w:rPr>
          <w:rFonts w:ascii="Arial" w:hAnsi="Arial" w:cs="Arial"/>
          <w:color w:val="000000" w:themeColor="text1"/>
          <w:sz w:val="24"/>
          <w:szCs w:val="24"/>
        </w:rPr>
        <w:t xml:space="preserve"> 2010.</w:t>
      </w:r>
    </w:p>
    <w:p w:rsidR="000329AF" w:rsidRPr="003121EB" w:rsidRDefault="008D7668">
      <w:pPr>
        <w:rPr>
          <w:color w:val="000000" w:themeColor="text1"/>
        </w:rPr>
      </w:pPr>
    </w:p>
    <w:sectPr w:rsidR="000329AF" w:rsidRPr="003121EB" w:rsidSect="003121EB"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B"/>
    <w:rsid w:val="000702B1"/>
    <w:rsid w:val="000A7115"/>
    <w:rsid w:val="00195A4B"/>
    <w:rsid w:val="003121EB"/>
    <w:rsid w:val="007F2EF8"/>
    <w:rsid w:val="008212B6"/>
    <w:rsid w:val="008D7668"/>
    <w:rsid w:val="009F28B8"/>
    <w:rsid w:val="00AB0FCB"/>
    <w:rsid w:val="00B45C51"/>
    <w:rsid w:val="00B6488B"/>
    <w:rsid w:val="00C73109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576A"/>
  <w15:chartTrackingRefBased/>
  <w15:docId w15:val="{3C4019BE-45CA-42FB-BBF5-5D5C487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4B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195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95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95A4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95A4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195A4B"/>
    <w:rPr>
      <w:color w:val="0000FF"/>
      <w:u w:val="single"/>
    </w:rPr>
  </w:style>
  <w:style w:type="paragraph" w:customStyle="1" w:styleId="sangria">
    <w:name w:val="sangria"/>
    <w:basedOn w:val="Normal"/>
    <w:rsid w:val="0019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Rafael Lopez Nañez</dc:creator>
  <cp:keywords/>
  <dc:description/>
  <cp:lastModifiedBy>Blanca Nelly Maldonado Briones</cp:lastModifiedBy>
  <cp:revision>5</cp:revision>
  <cp:lastPrinted>2022-05-26T18:00:00Z</cp:lastPrinted>
  <dcterms:created xsi:type="dcterms:W3CDTF">2022-05-26T18:01:00Z</dcterms:created>
  <dcterms:modified xsi:type="dcterms:W3CDTF">2024-11-07T17:45:00Z</dcterms:modified>
</cp:coreProperties>
</file>