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A" w:rsidRPr="00BC7DF3" w:rsidRDefault="00207DEA" w:rsidP="00982963">
      <w:pPr>
        <w:jc w:val="center"/>
        <w:rPr>
          <w:rFonts w:ascii="Arial" w:hAnsi="Arial" w:cs="Arial"/>
          <w:b/>
        </w:rPr>
      </w:pPr>
      <w:r w:rsidRPr="00BC7DF3">
        <w:rPr>
          <w:rFonts w:ascii="Arial" w:hAnsi="Arial" w:cs="Arial"/>
          <w:b/>
        </w:rPr>
        <w:t>REGLAMENTO DE LA ADMINISTRACIÓN PÚBLICA MUNICIPAL DE MONTERREY</w:t>
      </w:r>
      <w:r w:rsidRPr="00BC7DF3">
        <w:rPr>
          <w:rFonts w:ascii="Arial" w:hAnsi="Arial" w:cs="Arial"/>
          <w:b/>
        </w:rPr>
        <w:cr/>
      </w:r>
    </w:p>
    <w:p w:rsidR="007B6A80" w:rsidRPr="007B6A80" w:rsidRDefault="00982963" w:rsidP="007B6A80">
      <w:pPr>
        <w:jc w:val="center"/>
        <w:rPr>
          <w:rFonts w:ascii="Arial" w:hAnsi="Arial" w:cs="Arial"/>
          <w:b/>
        </w:rPr>
      </w:pPr>
      <w:r w:rsidRPr="00982963">
        <w:rPr>
          <w:rFonts w:ascii="Arial" w:hAnsi="Arial" w:cs="Arial"/>
          <w:b/>
        </w:rPr>
        <w:t>SECRE</w:t>
      </w:r>
      <w:r w:rsidR="00B962F4">
        <w:rPr>
          <w:rFonts w:ascii="Arial" w:hAnsi="Arial" w:cs="Arial"/>
          <w:b/>
        </w:rPr>
        <w:t>TARÍA DE DESARROLLO HUMANO E IGUALDAD SUSTANTIVA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ARTÍCULO 129. Corresponden a la Dirección de Enlace Municipal las siguientes atribuciones: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I. Servir como la unidad administrativa de enlace y atención institucional de la Secretaría, con la Secretaría Ejecutiva, la Tesorería Municipal, la Secretaría de Administración, la Contraloría Municipal, la Dirección de Asuntos Jurídicos de la Secretaría del Ayuntamiento y el Instituto Municipal de Planeación Urbana y Convivencia; para el seguimiento de los procesos y los trámites de sus respectivas competencias;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II. Aplicar, observar y difundir al interior las políticas, normativas, lineamientos y, en general, las disposiciones emitidas por la Secretaría Ejecutiva y el Instituto Municipal de Planeación Urbana y Convivencia, en materias Comunicación Social y Planeación respectivamente;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III. Remitir a cada una de las Direcciones de la Secretaría, las solicitudes de atención ciudadana, que sean turnadas por la Secretaría de Participación Ciudadana o recibidas directamente en la Secretaría, para su análisis y, en su caso, ejecución, mediante los procesos establecidos;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IV. Asegurar, al interior de la Secretaría, la observancia, cumplimiento y difusión, de las políticas, directrices, lineamientos y procedimientos establecidos por la Tesorería Municipal y la Secretaría de Administración en materias de administración de recursos humanos, materiales, financieros, adquisiciones, almacenes y demás servicios;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V. Administrar los diferentes sistemas de atención ciudadana asignados, en forma clara, atenta y dando toda la información de acuerdo con las políticas establecidas;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>VI. Observar, conocer, aplicar, cumplir y difundir al interior de la Secretaría de Desarrollo Humano e Igualdad Sustantiva, las distintas directrices, lineamientos, normativas y demás criterios definidos por la Consejería Jurídica de la Secretaría Ejecutiva y por la Dirección de Asuntos Jurídicos de la Secretaría del Ayuntamiento, en el ámbito de sus competencias, para</w:t>
      </w:r>
      <w:r>
        <w:rPr>
          <w:rFonts w:ascii="Arial" w:hAnsi="Arial" w:cs="Arial"/>
        </w:rPr>
        <w:t xml:space="preserve"> </w:t>
      </w:r>
      <w:r w:rsidRPr="007B6A80">
        <w:rPr>
          <w:rFonts w:ascii="Arial" w:hAnsi="Arial" w:cs="Arial"/>
        </w:rPr>
        <w:t xml:space="preserve">uniformar la actuación de las dependencias y entidades paramunicipales, en los diversos asuntos jurídicos de la Administración Pública Municipal;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VII. Conocer, aplicar, atender y difundir a las distintas áreas de la Secretaría de Desarrollo Humano e Igualdad Sustantiva, las políticas, programas, lineamientos e instrucciones de la Contraloría Municipal en las materias de su competencia, como auditorías, transparencia y rendición de cuentas; además de atender los requerimientos de otros órganos de control o fiscalización;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VIII. Verificar y tramitar que los bienes y servicios cumplan con los lineamientos administrativos establecidos en los diversos procesos de la Secretaría de Desarrollo Humano e Igualdad Sustantiva;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IX. Atender los requerimientos y suministro de materiales y servicios de las diferentes áreas de la Secretaría;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lastRenderedPageBreak/>
        <w:t xml:space="preserve">X. Dar seguimiento a la ejecución de los programas que le correspondan a la Secretaría en el contexto del Plan Municipal de Desarrollo y normativas legales correspondientes;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XI. Supervisar, controlar y verificar los almacenes de la Secretaría de Desarrollo Humano e Igualdad Sustantiva; </w:t>
      </w:r>
    </w:p>
    <w:p w:rsidR="007B6A80" w:rsidRDefault="007B6A80" w:rsidP="007B6A80">
      <w:pPr>
        <w:jc w:val="both"/>
        <w:rPr>
          <w:rFonts w:ascii="Arial" w:hAnsi="Arial" w:cs="Arial"/>
        </w:rPr>
      </w:pPr>
      <w:r w:rsidRPr="007B6A80">
        <w:rPr>
          <w:rFonts w:ascii="Arial" w:hAnsi="Arial" w:cs="Arial"/>
        </w:rPr>
        <w:t xml:space="preserve">XII. Recabar y presentar la información para la elaboración de la proyección del gasto de la Secretaría de Desarrollo Humano e Igualdad Sustantiva; y </w:t>
      </w:r>
    </w:p>
    <w:p w:rsidR="00207DEA" w:rsidRPr="007B6A80" w:rsidRDefault="007B6A80" w:rsidP="007B6A80">
      <w:pPr>
        <w:jc w:val="both"/>
        <w:rPr>
          <w:rFonts w:ascii="Arial" w:hAnsi="Arial" w:cs="Arial"/>
        </w:rPr>
      </w:pPr>
      <w:bookmarkStart w:id="0" w:name="_GoBack"/>
      <w:bookmarkEnd w:id="0"/>
      <w:r w:rsidRPr="007B6A80">
        <w:rPr>
          <w:rFonts w:ascii="Arial" w:hAnsi="Arial" w:cs="Arial"/>
        </w:rPr>
        <w:t>XIII. Las que le ordene la persona titular de la Secretaría de Desarrollo Humano e Igualdad Sustantiva, así como las demás que las leyes y reglamentos aplicables establezcan.</w:t>
      </w:r>
    </w:p>
    <w:sectPr w:rsidR="00207DEA" w:rsidRPr="007B6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B69"/>
    <w:multiLevelType w:val="hybridMultilevel"/>
    <w:tmpl w:val="ACBC3CB8"/>
    <w:lvl w:ilvl="0" w:tplc="D0B8C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5CE8"/>
    <w:multiLevelType w:val="hybridMultilevel"/>
    <w:tmpl w:val="CFFC9274"/>
    <w:lvl w:ilvl="0" w:tplc="5D528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866"/>
    <w:multiLevelType w:val="hybridMultilevel"/>
    <w:tmpl w:val="D7CA0F44"/>
    <w:lvl w:ilvl="0" w:tplc="C4A6C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C0DF9"/>
    <w:multiLevelType w:val="hybridMultilevel"/>
    <w:tmpl w:val="E556A276"/>
    <w:lvl w:ilvl="0" w:tplc="928A2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A"/>
    <w:rsid w:val="00075F81"/>
    <w:rsid w:val="00140664"/>
    <w:rsid w:val="00191828"/>
    <w:rsid w:val="001E63B9"/>
    <w:rsid w:val="00207DEA"/>
    <w:rsid w:val="00256075"/>
    <w:rsid w:val="00323D25"/>
    <w:rsid w:val="004764C7"/>
    <w:rsid w:val="004A7C60"/>
    <w:rsid w:val="00585473"/>
    <w:rsid w:val="005C7C74"/>
    <w:rsid w:val="00614124"/>
    <w:rsid w:val="006E3E35"/>
    <w:rsid w:val="007B6A80"/>
    <w:rsid w:val="007F2F43"/>
    <w:rsid w:val="00853350"/>
    <w:rsid w:val="00982963"/>
    <w:rsid w:val="009D5F29"/>
    <w:rsid w:val="00A429B2"/>
    <w:rsid w:val="00B962F4"/>
    <w:rsid w:val="00BC7DF3"/>
    <w:rsid w:val="00E63B37"/>
    <w:rsid w:val="00F71A51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32A5"/>
  <w15:chartTrackingRefBased/>
  <w15:docId w15:val="{39156AAC-A24F-4487-BD36-0D7D8D6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Aglael Ramirez Perez</dc:creator>
  <cp:keywords/>
  <dc:description/>
  <cp:lastModifiedBy>Luis Mario Lopez Padilla</cp:lastModifiedBy>
  <cp:revision>3</cp:revision>
  <dcterms:created xsi:type="dcterms:W3CDTF">2025-06-02T23:25:00Z</dcterms:created>
  <dcterms:modified xsi:type="dcterms:W3CDTF">2025-06-03T17:04:00Z</dcterms:modified>
</cp:coreProperties>
</file>