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="276" w:lineRule="auto"/>
        <w:ind w:right="62.59842519685151"/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ANA ELIZABETH VILLALPANDO PLASCENCIA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276" w:lineRule="auto"/>
        <w:ind w:right="62.5984251968515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76" w:lineRule="auto"/>
        <w:ind w:right="62.5984251968515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="276" w:lineRule="auto"/>
        <w:ind w:right="62.59842519685151"/>
        <w:jc w:val="both"/>
        <w:rPr>
          <w:highlight w:val="white"/>
        </w:rPr>
      </w:pPr>
      <w:bookmarkStart w:colFirst="0" w:colLast="0" w:name="_xeunr6toh96d" w:id="0"/>
      <w:bookmarkEnd w:id="0"/>
      <w:r w:rsidDel="00000000" w:rsidR="00000000" w:rsidRPr="00000000">
        <w:rPr>
          <w:highlight w:val="white"/>
          <w:rtl w:val="0"/>
        </w:rPr>
        <w:t xml:space="preserve">Fue designada Directora de Educación de la Secretaría de Desarrollo Social e Igualdad Sustantiva del Municipio de Monterrey en noviembre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0" w:line="276" w:lineRule="auto"/>
        <w:ind w:right="62.5984251968515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="276" w:lineRule="auto"/>
        <w:ind w:right="62.59842519685151"/>
        <w:jc w:val="both"/>
        <w:rPr>
          <w:b w:val="0"/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Cursó la Licenciatura en Nutrición en la Facultad de Salud Pública y Nutrición de la Universidad Autónoma de Nuevo León, de 2001 a 2006. Posteriormente, realizó estudios de Maestría en Bioética en el Instituto de Investigaciones en Bioética durante el período 2017–2019. Su formación académica inició con el Bachillerato General en la Preparatoria No. 9 de la Universidad Autónoma de Nuevo León, entre 1999 y 2001.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Su trayectoria formativa le ha permitido integrar una visión ética, científica y humanista en el campo de la nutrición, con sólidos fundamentos en el análisis bioético aplicado a contextos sociales y de salud pública. Esta preparación respalda su labor profesional orientada al bienestar integral de las personas y comunidades.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76" w:lineRule="auto"/>
        <w:ind w:right="62.5984251968515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ResearchLand: Un mundo de investigación clínica. APEIC, A.C. y ACROM, 2023.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Retos en los Comités de Ética en la Evaluación de Protocolos de Investigación. Secretaría de Salud, 2022.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Desarrollando competitividad en estudios clínicos: Propuesta de valor para Latinoamérica. APEIC, A.C., 2022.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Fundamentos de Regulación Sanitaria en Materia de Investigación Clínica. APEIC, A.C., 2022.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Congreso Internacional de Bioética. Comisión Nacional de Bioética, 2022.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XIV Reunión Nacional de Comisiones Estatales de Bioética. Comisión Nacional de Bioética, 2021.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Competencias del Auditor basado en la norma 19011-2018. Secretaría de Economía y del Trabajo de Nuevo León, 2021.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Claves para un buen liderazgo. Secretaría de Economía y del Trabajo de Nuevo León, 2021.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Cursos sobre continuidad y manejo de estudios clínicos durante la pandemia de COVID-19. APEIC, A.C., 2020.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V Congreso Nacional de Investigación Clínica. APEIC, A.C., 2019.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Taller sobre seguimiento a Comités de Ética en Investigación. APEIC, A.C., 2019.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Mitos y realidades de la regulación sanitaria en investigación clínica en México. TecSalud, 2019.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Sesión mensual sobre regulación sanitaria. APEIC, 2018.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 avanzado de apoyo a la lactancia materna. Asociación Pro Lactancia Materna A.C., 2018.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 de Capacitación en Bioética. Clúster Monterrey Ciudad de la Salud y UDEM, 2017.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IV Seminario Regional de Formación de Formadores en Bioética y Ética de la Ciencia. Instituto de Investigaciones en Bioética y UNESCO, 2017.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Capacitación en el Programa Regional de Bioética y Ética de la Ciencia. UNESCO, 2017.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Diplomado intensivo en Capacitación de Miembros de los Comités. Instituto de Investigaciones en Bioética, 2017.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Tercer Congreso Nacional en Investigación Clínica. APEIC, 2017.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Reunión de trabajo con Comités de Ética en Investigación. Comisión Nacional de Bioética, 2017.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Funcionamiento de los Comités. Cardiolink y Centro de Urología Avanzada, 2017.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 de Implementación del Sistema de Gestión de la Calidad ISO 9001:2005. ITESM, 2017.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Curso–Taller para Coordinadores de Estudio Clínico. Roche, 2016.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Actualidades en Regulaciones Nacionales e Internacionales y Calidad en la Investigación Clínica. ITESM, 2016.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Evaluación de Estudios Clínicos y Protocolos de Investigación. ITESM, 2016.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II Congreso Internacional de Bioética. IIB, 2016.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Diplomado intensivo para miembros y formación de comités de bioética. 2016.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Buenas Prácticas Clínicas TransCelerate. ITESM–Roche, 2016.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Foro Internacional de Liderazgo en Salud. ITESM y Johns Hopkins Medicine, 2016.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 para Comités de Ética en Investigación. Comisión Nacional de Bioética, 2015.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Buenas Prácticas Clínicas TransCelerate. ITESM–Roche, 2015.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Escritura de Procedimientos Operativos Estandarizados. Roche, 2015.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Seminario sobre Ética en Investigación. ITESM, 2014.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Project Management Training Course Program. DIA y ACROM, 2013.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9th Latin American Congress of Clinical Research. DIA y ACROM, 2012.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Curso-Taller de Buenas Prácticas Clínicas para Comisiones de Ética en Investigación. 2011.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Diplomado en Investigación Clínica y Buenas Prácticas Científicas. ITESM, 2011.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Taller “Juntos por un mismo objetivo: La investigación clínica en México”. Pfizer, 2011.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76" w:lineRule="auto"/>
        <w:ind w:left="720" w:right="62.59842519685151" w:hanging="360"/>
        <w:jc w:val="both"/>
        <w:rPr/>
      </w:pPr>
      <w:r w:rsidDel="00000000" w:rsidR="00000000" w:rsidRPr="00000000">
        <w:rPr>
          <w:rtl w:val="0"/>
        </w:rPr>
        <w:t xml:space="preserve">Módulos de capacitación en Buenas Prácticas Clínicas, consentimiento informado, documentación de estudio, reporte de eventos adversos y responsabilidades de monitoreo. Bristol-Myers Squibb, 2009.</w:t>
      </w:r>
    </w:p>
    <w:p w:rsidR="00000000" w:rsidDel="00000000" w:rsidP="00000000" w:rsidRDefault="00000000" w:rsidRPr="00000000" w14:paraId="00000033">
      <w:pPr>
        <w:spacing w:after="0" w:before="0" w:line="276" w:lineRule="auto"/>
        <w:ind w:right="62.598425196851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76" w:lineRule="auto"/>
        <w:ind w:right="62.598425196851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0" w:before="0" w:line="276" w:lineRule="auto"/>
        <w:ind w:right="62.598425196851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0" w:before="0" w:line="276" w:lineRule="auto"/>
        <w:ind w:right="62.59842519685151"/>
        <w:jc w:val="both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37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agosto de 2021, se desempeña como Docente de Licenciatura en Biociencias en el Instituto Tecnológico y de Estudios Superiores de Monterrey (ITESM), campus Monterrey. En esta función ha impartido asignaturas como “Diseño de investigación y estadística en biociencias” y “Bioética clínica”, orientadas al desarrollo de competencias científicas, éticas y metodológicas en estudiantes de las áreas de salud. Su docencia se ha caracterizado por la aplicación de estrategias activas de aprendizaje y la integración de la bioética en contextos académicos y clínicos.</w:t>
      </w:r>
    </w:p>
    <w:p w:rsidR="00000000" w:rsidDel="00000000" w:rsidP="00000000" w:rsidRDefault="00000000" w:rsidRPr="00000000" w14:paraId="00000038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noviembre de 2016 a diciembre de 2018, se desempeñó como Vocal del Comité de Ética en Investigación en el Centro de Urología Avanzada del Noreste, donde participó en la revisión, dictamen y seguimiento ético de protocolos de investigación clínica, garantizando el cumplimiento de los principios bioéticos y de la normativa nacional aplicable en proyectos del área médica especializada.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enero de 2013 y enero de 2015, fungió como Coordinadora de Comités de Ética e Investigación en la empresa ACCELERIUM. Durante este periodo lideró la constitución y operación de comités institucionales, la capacitación de sus integrantes y el acompañamiento metodológico y normativo en la evaluación de protocolos. Asimismo, desarrolló lineamientos internos, supervisó la documentación técnica y promovió el cumplimiento de buenas prácticas clínicas en estudios de investigación con personas.</w:t>
      </w:r>
    </w:p>
    <w:p w:rsidR="00000000" w:rsidDel="00000000" w:rsidP="00000000" w:rsidRDefault="00000000" w:rsidRPr="00000000" w14:paraId="0000003C">
      <w:pPr>
        <w:spacing w:after="0" w:before="0" w:line="276" w:lineRule="auto"/>
        <w:ind w:right="62.59842519685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0" w:before="0" w:line="276" w:lineRule="auto"/>
        <w:ind w:right="62.59842519685151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before="0" w:line="276" w:lineRule="auto"/>
        <w:ind w:right="62.5984251968515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17.3228346456694" w:top="1133.8582677165355" w:left="1700.7874015748032" w:right="1700.78740157480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200" w:line="276" w:lineRule="auto"/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