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LIC. MARÍA MAGDALENA OCHOA CASTRO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14"/>
        </w:tabs>
        <w:spacing w:after="0" w:before="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Fue designada Je</w:t>
      </w:r>
      <w:r w:rsidDel="00000000" w:rsidR="00000000" w:rsidRPr="00000000">
        <w:rPr>
          <w:rFonts w:ascii="Arial" w:cs="Arial" w:eastAsia="Arial" w:hAnsi="Arial"/>
          <w:sz w:val="24"/>
          <w:szCs w:val="24"/>
          <w:highlight w:val="white"/>
          <w:rtl w:val="0"/>
        </w:rPr>
        <w:t xml:space="preserve">f</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 de Área en la Dirección de Educación de la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Secretaría de Desarrollo Humano e Igualdad Sustantiva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en </w:t>
      </w:r>
      <w:r w:rsidDel="00000000" w:rsidR="00000000" w:rsidRPr="00000000">
        <w:rPr>
          <w:rFonts w:ascii="Arial" w:cs="Arial" w:eastAsia="Arial" w:hAnsi="Arial"/>
          <w:sz w:val="24"/>
          <w:szCs w:val="24"/>
          <w:highlight w:val="white"/>
          <w:rtl w:val="0"/>
        </w:rPr>
        <w:t xml:space="preserve">octubre</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del 2024.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3"/>
        <w:spacing w:after="0" w:before="0" w:lineRule="auto"/>
        <w:jc w:val="both"/>
        <w:rPr>
          <w:rFonts w:ascii="inherit" w:cs="inherit" w:eastAsia="inherit" w:hAnsi="inherit"/>
          <w:sz w:val="34"/>
          <w:szCs w:val="34"/>
          <w:u w:val="single"/>
        </w:rPr>
      </w:pPr>
      <w:r w:rsidDel="00000000" w:rsidR="00000000" w:rsidRPr="00000000">
        <w:rPr>
          <w:rFonts w:ascii="inherit" w:cs="inherit" w:eastAsia="inherit" w:hAnsi="inherit"/>
          <w:sz w:val="34"/>
          <w:szCs w:val="34"/>
          <w:u w:val="single"/>
          <w:rtl w:val="0"/>
        </w:rPr>
        <w:t xml:space="preserve">Actividades Académicas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Cursó la Licenciatura en FOMENTO PROFESIONAL DE DISEÑO SA DE CV.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Académico activo, cuenta con años de experiencia como Profesor Docente en las aulas de la Facultad de Ciencias Químicas de la Universidad Autónoma de Nuevo León, impartiendo materias del ámbito de la Administración.</w:t>
      </w:r>
    </w:p>
    <w:p w:rsidR="00000000" w:rsidDel="00000000" w:rsidP="00000000" w:rsidRDefault="00000000" w:rsidRPr="00000000" w14:paraId="00000008">
      <w:pPr>
        <w:pStyle w:val="Heading3"/>
        <w:spacing w:after="0" w:before="0" w:lineRule="auto"/>
        <w:jc w:val="both"/>
        <w:rPr>
          <w:rFonts w:ascii="inherit" w:cs="inherit" w:eastAsia="inherit" w:hAnsi="inherit"/>
          <w:sz w:val="34"/>
          <w:szCs w:val="34"/>
          <w:u w:val="single"/>
        </w:rPr>
      </w:pPr>
      <w:r w:rsidDel="00000000" w:rsidR="00000000" w:rsidRPr="00000000">
        <w:rPr>
          <w:rFonts w:ascii="inherit" w:cs="inherit" w:eastAsia="inherit" w:hAnsi="inherit"/>
          <w:sz w:val="34"/>
          <w:szCs w:val="34"/>
          <w:u w:val="single"/>
          <w:rtl w:val="0"/>
        </w:rPr>
        <w:t xml:space="preserve">Cursos</w:t>
      </w:r>
    </w:p>
    <w:p w:rsidR="00000000" w:rsidDel="00000000" w:rsidP="00000000" w:rsidRDefault="00000000" w:rsidRPr="00000000" w14:paraId="00000009">
      <w:pPr>
        <w:spacing w:after="22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como Diplomado en Inglés de Negocios. Herramientas de Análisis Económico INEGI Desing Thinking Taller de Lengua de Señas Mexicana.</w:t>
      </w:r>
    </w:p>
    <w:p w:rsidR="00000000" w:rsidDel="00000000" w:rsidP="00000000" w:rsidRDefault="00000000" w:rsidRPr="00000000" w14:paraId="0000000A">
      <w:pPr>
        <w:pStyle w:val="Heading3"/>
        <w:spacing w:after="0" w:before="0" w:lineRule="auto"/>
        <w:jc w:val="both"/>
        <w:rPr>
          <w:sz w:val="20"/>
          <w:szCs w:val="20"/>
        </w:rPr>
      </w:pPr>
      <w:r w:rsidDel="00000000" w:rsidR="00000000" w:rsidRPr="00000000">
        <w:rPr>
          <w:rtl w:val="0"/>
        </w:rPr>
      </w:r>
    </w:p>
    <w:p w:rsidR="00000000" w:rsidDel="00000000" w:rsidP="00000000" w:rsidRDefault="00000000" w:rsidRPr="00000000" w14:paraId="0000000B">
      <w:pPr>
        <w:pStyle w:val="Heading3"/>
        <w:spacing w:after="0" w:before="0" w:lineRule="auto"/>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inherit" w:cs="inherit" w:eastAsia="inherit" w:hAnsi="inherit"/>
          <w:sz w:val="34"/>
          <w:szCs w:val="34"/>
          <w:u w:val="single"/>
          <w:rtl w:val="0"/>
        </w:rPr>
        <w:t xml:space="preserve">Actividades Profesionales</w:t>
      </w:r>
      <w:r w:rsidDel="00000000" w:rsidR="00000000" w:rsidRPr="00000000">
        <w:rPr>
          <w:rtl w:val="0"/>
        </w:rPr>
      </w:r>
    </w:p>
    <w:p w:rsidR="00000000" w:rsidDel="00000000" w:rsidP="00000000" w:rsidRDefault="00000000" w:rsidRPr="00000000" w14:paraId="0000000C">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enero de 2021 a septiembre de 2024, se desempeñó en el servicio público como Coordinadora de la Bolsa de Empleo en la Dirección de Promoción de Inversiones y Empleo de la Secretaría de Desarrollo Económico del Municipio de Monterrey. En este cargo, fue responsable de los indicadores de desempeño de la Bolsa, del manejo y supervisión del personal a su cargo, así como de la elaboración y entrega de procedimientos e instructivos internos. Asimismo, estuvo a cargo del Programa de Empleo Temporal, coordinando las gestiones normativas para la emisión de reglas de operación, y siendo responsable del seguimiento y ejecución del pago a las y los beneficiarios del programa.</w:t>
      </w:r>
    </w:p>
    <w:p w:rsidR="00000000" w:rsidDel="00000000" w:rsidP="00000000" w:rsidRDefault="00000000" w:rsidRPr="00000000" w14:paraId="0000000D">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ámbito privado, de 2016 a 2019 colaboró como asistente de asesor financiero en Cartera Personal, realizando tareas de apoyo administrativo, control de facturaciones y gestión operativa en temas relacionados con inversiones individuales. Su experiencia incluyó la organización documental, atención a clientes y respaldo en la planeación financiera personalizada.</w:t>
      </w:r>
    </w:p>
    <w:p w:rsidR="00000000" w:rsidDel="00000000" w:rsidP="00000000" w:rsidRDefault="00000000" w:rsidRPr="00000000" w14:paraId="0000000E">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Previamente, de 2013 a 2016, ocupó el cargo de Directora Administrativa en el Condominio Punta la Boca. Entre sus funciones principales se encontraron la administración de cuentas bancarias, la elaboración y pago de nómina, así como la representación directa ante proveedores y residentes del condominio, brindando atención personalizada y resolviendo gestiones administrativas cotidianas.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sectPr>
      <w:pgSz w:h="15840" w:w="12240"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Body" w:customStyle="1">
    <w:name w:val="Body"/>
    <w:rsid w:val="006928CF"/>
    <w:pPr>
      <w:pBdr>
        <w:top w:space="0" w:sz="0" w:val="nil"/>
        <w:left w:space="0" w:sz="0" w:val="nil"/>
        <w:bottom w:space="0" w:sz="0" w:val="nil"/>
        <w:right w:space="0" w:sz="0" w:val="nil"/>
        <w:between w:space="0" w:sz="0" w:val="nil"/>
        <w:bar w:space="0" w:sz="0" w:val="nil"/>
      </w:pBdr>
      <w:spacing w:after="0" w:line="240" w:lineRule="auto"/>
    </w:pPr>
    <w:rPr>
      <w:rFonts w:ascii="Helvetica Neue" w:cs="Arial Unicode MS" w:eastAsia="Arial Unicode MS" w:hAnsi="Helvetica Neue"/>
      <w:color w:val="000000"/>
      <w:bdr w:space="0" w:sz="0" w:val="nil"/>
      <w:lang w:eastAsia="es-MX" w:val="es-ES_tradnl"/>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l4r4KVR/lNzhX4fVxfvCQ1yzg==">CgMxLjA4AHIhMTdCOTVXTEt4MHlFZEZhZVJONXRqV0JndHFjVU1xdnFT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2025-06-20T22:51:00Z</dcterms:created>
  <dc:creator>Brenda Carolina Rodriguez Salazar</dc:creator>
</cp:coreProperties>
</file>