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MARCO SANTIAGO FLORES SOLANO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designado Jefe de proyectos estratégicos de la Dirección de Igualdad Sustantiva de la Secretaría de Desarrollo Humano e Igualdad Sustantiva, en octubre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Lenguajes y Producción Audiovisual de la Facultad de Artes Visuales de la Universidad Autónoma de Nuevo León; posteriormente la Licenciatura en Derecho de la Universidad Metropolitana de Monterrey.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76" w:lineRule="auto"/>
        <w:ind w:right="62.59842519685151"/>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Cursos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público, fungió como Asesor legislativo de </w:t>
      </w:r>
      <w:r w:rsidDel="00000000" w:rsidR="00000000" w:rsidRPr="00000000">
        <w:rPr>
          <w:rFonts w:ascii="Arial" w:cs="Arial" w:eastAsia="Arial" w:hAnsi="Arial"/>
          <w:sz w:val="24"/>
          <w:szCs w:val="24"/>
          <w:rtl w:val="0"/>
        </w:rPr>
        <w:t xml:space="preserve">noviembre de 2021</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a agosto 2024, en el H. Congreso del Estado de Nuevo León para el Grupo Legislativo del Partido de la Revolución Institucional, en donde era uno de los responsables del Análisis jurídico de la miscelánea legislativa. Dentro de sus funciones también se encontraba la redacción de iniciativas de ley, puntos de acuerdo, oficios y demás asuntos legislativos.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También en el servicio público, sirvió como analista durante 2019 para el programa “Jóvenes Construyendo el Futuro” de la </w:t>
      </w:r>
      <w:r w:rsidDel="00000000" w:rsidR="00000000" w:rsidRPr="00000000">
        <w:rPr>
          <w:rFonts w:ascii="Arial" w:cs="Arial" w:eastAsia="Arial" w:hAnsi="Arial"/>
          <w:sz w:val="24"/>
          <w:szCs w:val="24"/>
          <w:rtl w:val="0"/>
        </w:rPr>
        <w:t xml:space="preserve">Secretaría</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del Trabajo y Previsión Social, en donde era el encargado de atraer y mantener a empresas e instituciones como colaboradores activos del programa.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Dentro de la iniciativa privada, desempeñó el puesto de coordinador de producción en la Tuna Films del 2020-2021, donde su rol principal era llevar a cabo la logística de los diversos proyectos audiovisuales que eran responsabilidad de la empresa.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i w:val="0"/>
          <w:smallCaps w:val="0"/>
          <w:strike w:val="0"/>
          <w:sz w:val="24"/>
          <w:szCs w:val="24"/>
          <w:u w:val="none"/>
          <w:shd w:fill="auto" w:val="clear"/>
          <w:vertAlign w:val="baseline"/>
        </w:rPr>
      </w:pPr>
      <w:bookmarkStart w:colFirst="0" w:colLast="0" w:name="_heading=h.65qqartk4pfe" w:id="0"/>
      <w:bookmarkEnd w:id="0"/>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NormalWeb">
    <w:name w:val="Normal (Web)"/>
    <w:basedOn w:val="Normal"/>
    <w:uiPriority w:val="99"/>
    <w:semiHidden w:val="1"/>
    <w:unhideWhenUsed w:val="1"/>
    <w:rsid w:val="00E629FC"/>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HOfN6sraviP4Md6KU/E/EbwcQ==">CgMxLjAyDmguNjVxcWFydGs0cGZlOAByITFCaWdOZW5LODQzN0htLTVYZDE0dkoxY2dmNVpIS0FTeg==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2024-12-04T19:22:00Z</dcterms:created>
  <dc:creator>Brenda Carolina Rodriguez Salazar</dc:creator>
</cp:coreProperties>
</file>