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sz w:val="40"/>
          <w:szCs w:val="40"/>
          <w:u w:val="single"/>
        </w:rPr>
      </w:pPr>
      <w:r w:rsidDel="00000000" w:rsidR="00000000" w:rsidRPr="00000000">
        <w:rPr>
          <w:rFonts w:ascii="Arial" w:cs="Arial" w:eastAsia="Arial" w:hAnsi="Arial"/>
          <w:b w:val="1"/>
          <w:sz w:val="40"/>
          <w:szCs w:val="40"/>
          <w:u w:val="single"/>
          <w:rtl w:val="0"/>
        </w:rPr>
        <w:t xml:space="preserve">NADIA LORENA GARZA RODRÍGUEZ</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designada Coordinadora General de la Dirección de Igualdad Sustantiva, perteneciente a la </w:t>
      </w:r>
      <w:r w:rsidDel="00000000" w:rsidR="00000000" w:rsidRPr="00000000">
        <w:rPr>
          <w:rFonts w:ascii="Arial" w:cs="Arial" w:eastAsia="Arial" w:hAnsi="Arial"/>
          <w:sz w:val="24"/>
          <w:szCs w:val="24"/>
          <w:highlight w:val="white"/>
          <w:rtl w:val="0"/>
        </w:rPr>
        <w:t xml:space="preserve">Secretaría</w:t>
      </w:r>
      <w:r w:rsidDel="00000000" w:rsidR="00000000" w:rsidRPr="00000000">
        <w:rPr>
          <w:rFonts w:ascii="Arial" w:cs="Arial" w:eastAsia="Arial" w:hAnsi="Arial"/>
          <w:i w:val="0"/>
          <w:smallCaps w:val="0"/>
          <w:strike w:val="0"/>
          <w:sz w:val="24"/>
          <w:szCs w:val="24"/>
          <w:highlight w:val="white"/>
          <w:u w:val="none"/>
          <w:vertAlign w:val="baseline"/>
          <w:rtl w:val="0"/>
        </w:rPr>
        <w:t xml:space="preserve"> de Desarrollo Humano e Igualdad Sustantiva, en octubre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Ciencias Jurídicas en la Universidad Regiomontana; posteriormente realizó estudios de Posgrado en la Escuela Judicial Electoral del Poder Judicial de la Federación con la Maestría en Derecho Electoral.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diplomado en Derecho Parlamentario, Política y Técnica Legislativa impartido por la Facultad de Derecho y Criminología de la UANL y otro de Teoría y Técnica de la Legislación impartido por la entonces Comisión Estatal Electoral.</w:t>
      </w:r>
    </w:p>
    <w:p w:rsidR="00000000" w:rsidDel="00000000" w:rsidP="00000000" w:rsidRDefault="00000000" w:rsidRPr="00000000" w14:paraId="0000000B">
      <w:pPr>
        <w:spacing w:after="0" w:before="0" w:line="276" w:lineRule="auto"/>
        <w:ind w:right="62.59842519685151"/>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Participó en una conferencia en la Casa de la Cultura Jurídica, de Derechos de las Personas de la Diversidad Sexual.</w:t>
      </w:r>
      <w:r w:rsidDel="00000000" w:rsidR="00000000" w:rsidRPr="00000000">
        <w:rPr>
          <w:rtl w:val="0"/>
        </w:rPr>
      </w:r>
    </w:p>
    <w:p w:rsidR="00000000" w:rsidDel="00000000" w:rsidP="00000000" w:rsidRDefault="00000000" w:rsidRPr="00000000" w14:paraId="0000000C">
      <w:pPr>
        <w:pStyle w:val="Heading3"/>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bookmarkStart w:colFirst="0" w:colLast="0" w:name="_heading=h.m65o92ozzp3q" w:id="0"/>
      <w:bookmarkEnd w:id="0"/>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público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sz w:val="24"/>
          <w:szCs w:val="24"/>
          <w:u w:val="none"/>
          <w:shd w:fill="auto" w:val="clear"/>
          <w:vertAlign w:val="baseline"/>
          <w:rtl w:val="0"/>
        </w:rPr>
        <w:t xml:space="preserve">septiembre 2021 al mes de agosto 2024), fungió como Secretaria Técnica de la Comisión para la Igualdad de Género en el H. Congreso de Nuevo León, así como también asesora de la entonces Diputada Jessica Martínez, donde principalmente se encargó de la elaboración de iniciativas que dieron paso a las reformas para el matrimonio civil igualitario y a la tipificación de las ECOSIG o terapias de conversión, entre otras.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Dentro de la iniciativa privada (marzo 2016 a</w:t>
      </w:r>
      <w:r w:rsidDel="00000000" w:rsidR="00000000" w:rsidRPr="00000000">
        <w:rPr>
          <w:rFonts w:ascii="Arial" w:cs="Arial" w:eastAsia="Arial" w:hAnsi="Arial"/>
          <w:sz w:val="24"/>
          <w:szCs w:val="24"/>
          <w:rtl w:val="0"/>
        </w:rPr>
        <w:t xml:space="preserve"> junio 2020)</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desempeñó el puesto de Auxiliar de Gerente, dentro de una cadena Hotelera denominada Accor, donde se encargaba del manejo de inventarios, compras y pago a proveedores.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CALRagAa3yvjWO1hiJBoHpBmg==">CgMxLjAyDmgubTY1bzkyb3p6cDNxOAByITFlQjVxZTNWcmVFQzF4VFBLVFcyTXU2WWNHRnpxNzNTRg==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2024-12-05T14:49:00Z</dcterms:created>
  <dc:creator>Brenda Carolina Rodriguez Salazar</dc:creator>
</cp:coreProperties>
</file>