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D1C89" w:rsidRDefault="00855186">
      <w:pPr>
        <w:pBdr>
          <w:top w:val="nil"/>
          <w:left w:val="nil"/>
          <w:bottom w:val="nil"/>
          <w:right w:val="nil"/>
          <w:between w:val="nil"/>
        </w:pBdr>
        <w:shd w:val="clear" w:color="auto" w:fill="FFFFFF"/>
        <w:spacing w:after="0"/>
        <w:ind w:right="62"/>
        <w:jc w:val="center"/>
        <w:rPr>
          <w:rFonts w:ascii="Arial" w:eastAsia="Arial" w:hAnsi="Arial" w:cs="Arial"/>
          <w:b/>
          <w:sz w:val="40"/>
          <w:szCs w:val="40"/>
          <w:u w:val="single"/>
        </w:rPr>
      </w:pPr>
      <w:r>
        <w:rPr>
          <w:rFonts w:ascii="Arial" w:eastAsia="Arial" w:hAnsi="Arial" w:cs="Arial"/>
          <w:b/>
          <w:sz w:val="40"/>
          <w:szCs w:val="40"/>
          <w:u w:val="single"/>
        </w:rPr>
        <w:t>CLAUDIA MIRIAM MARTÍNEZ GARZA</w:t>
      </w:r>
    </w:p>
    <w:p w14:paraId="00000002" w14:textId="77777777" w:rsidR="004D1C89" w:rsidRDefault="004D1C89">
      <w:pPr>
        <w:pBdr>
          <w:top w:val="nil"/>
          <w:left w:val="nil"/>
          <w:bottom w:val="nil"/>
          <w:right w:val="nil"/>
          <w:between w:val="nil"/>
        </w:pBdr>
        <w:shd w:val="clear" w:color="auto" w:fill="FFFFFF"/>
        <w:spacing w:after="0"/>
        <w:ind w:right="62"/>
        <w:jc w:val="both"/>
        <w:rPr>
          <w:rFonts w:ascii="Arial" w:eastAsia="Arial" w:hAnsi="Arial" w:cs="Arial"/>
          <w:b/>
          <w:sz w:val="24"/>
          <w:szCs w:val="24"/>
        </w:rPr>
      </w:pPr>
    </w:p>
    <w:p w14:paraId="00000003" w14:textId="77777777" w:rsidR="004D1C89" w:rsidRDefault="004D1C89">
      <w:pPr>
        <w:pBdr>
          <w:top w:val="nil"/>
          <w:left w:val="nil"/>
          <w:bottom w:val="nil"/>
          <w:right w:val="nil"/>
          <w:between w:val="nil"/>
        </w:pBdr>
        <w:shd w:val="clear" w:color="auto" w:fill="FFFFFF"/>
        <w:spacing w:after="0"/>
        <w:ind w:right="62"/>
        <w:jc w:val="both"/>
        <w:rPr>
          <w:rFonts w:ascii="Arial" w:eastAsia="Arial" w:hAnsi="Arial" w:cs="Arial"/>
          <w:b/>
          <w:sz w:val="24"/>
          <w:szCs w:val="24"/>
        </w:rPr>
      </w:pPr>
    </w:p>
    <w:p w14:paraId="00000004" w14:textId="77777777" w:rsidR="004D1C89" w:rsidRDefault="00855186">
      <w:pPr>
        <w:pBdr>
          <w:top w:val="nil"/>
          <w:left w:val="nil"/>
          <w:bottom w:val="nil"/>
          <w:right w:val="nil"/>
          <w:between w:val="nil"/>
        </w:pBdr>
        <w:shd w:val="clear" w:color="auto" w:fill="FFFFFF"/>
        <w:spacing w:after="0"/>
        <w:ind w:right="62"/>
        <w:jc w:val="both"/>
        <w:rPr>
          <w:rFonts w:ascii="Arial" w:eastAsia="Arial" w:hAnsi="Arial" w:cs="Arial"/>
          <w:sz w:val="24"/>
          <w:szCs w:val="24"/>
          <w:highlight w:val="white"/>
        </w:rPr>
      </w:pPr>
      <w:bookmarkStart w:id="0" w:name="_heading=h.xeunr6toh96d" w:colFirst="0" w:colLast="0"/>
      <w:bookmarkEnd w:id="0"/>
      <w:r>
        <w:rPr>
          <w:rFonts w:ascii="Arial" w:eastAsia="Arial" w:hAnsi="Arial" w:cs="Arial"/>
          <w:sz w:val="24"/>
          <w:szCs w:val="24"/>
          <w:highlight w:val="white"/>
        </w:rPr>
        <w:t>Fue designada Coordinadora General de la Secretaría de Desarrollo Humano e Igualdad Sustantiva en octubre 2024</w:t>
      </w:r>
    </w:p>
    <w:p w14:paraId="00000005" w14:textId="77777777" w:rsidR="004D1C89" w:rsidRDefault="004D1C89">
      <w:pPr>
        <w:pBdr>
          <w:top w:val="nil"/>
          <w:left w:val="nil"/>
          <w:bottom w:val="nil"/>
          <w:right w:val="nil"/>
          <w:between w:val="nil"/>
        </w:pBdr>
        <w:shd w:val="clear" w:color="auto" w:fill="FFFFFF"/>
        <w:spacing w:after="0"/>
        <w:ind w:right="62"/>
        <w:jc w:val="both"/>
        <w:rPr>
          <w:rFonts w:ascii="Arial" w:eastAsia="Arial" w:hAnsi="Arial" w:cs="Arial"/>
          <w:b/>
          <w:sz w:val="24"/>
          <w:szCs w:val="24"/>
        </w:rPr>
      </w:pPr>
    </w:p>
    <w:p w14:paraId="5CC0DDC8" w14:textId="77777777" w:rsidR="00AC0439" w:rsidRDefault="00AC0439">
      <w:pPr>
        <w:pStyle w:val="Ttulo3"/>
        <w:spacing w:after="0" w:line="276" w:lineRule="auto"/>
        <w:ind w:right="62"/>
        <w:jc w:val="both"/>
        <w:rPr>
          <w:rFonts w:ascii="Arial" w:eastAsia="Arial" w:hAnsi="Arial" w:cs="Arial"/>
          <w:sz w:val="32"/>
          <w:szCs w:val="32"/>
          <w:u w:val="single"/>
        </w:rPr>
      </w:pPr>
      <w:r>
        <w:rPr>
          <w:rFonts w:ascii="Arial" w:eastAsia="Arial" w:hAnsi="Arial" w:cs="Arial"/>
          <w:sz w:val="32"/>
          <w:szCs w:val="32"/>
          <w:u w:val="single"/>
        </w:rPr>
        <w:t xml:space="preserve">Actividades </w:t>
      </w:r>
      <w:r w:rsidR="00855186">
        <w:rPr>
          <w:rFonts w:ascii="Arial" w:eastAsia="Arial" w:hAnsi="Arial" w:cs="Arial"/>
          <w:sz w:val="32"/>
          <w:szCs w:val="32"/>
          <w:u w:val="single"/>
        </w:rPr>
        <w:t>Académicas</w:t>
      </w:r>
    </w:p>
    <w:p w14:paraId="60620D71" w14:textId="77777777" w:rsidR="006D3B2B" w:rsidRDefault="00855186">
      <w:pPr>
        <w:pStyle w:val="Ttulo3"/>
        <w:spacing w:after="0" w:line="276" w:lineRule="auto"/>
        <w:ind w:right="62"/>
        <w:jc w:val="both"/>
        <w:rPr>
          <w:rFonts w:ascii="Arial" w:eastAsia="Arial" w:hAnsi="Arial" w:cs="Arial"/>
          <w:b w:val="0"/>
          <w:sz w:val="24"/>
          <w:szCs w:val="24"/>
        </w:rPr>
      </w:pPr>
      <w:r>
        <w:rPr>
          <w:rFonts w:ascii="Arial" w:eastAsia="Arial" w:hAnsi="Arial" w:cs="Arial"/>
          <w:b w:val="0"/>
          <w:sz w:val="24"/>
          <w:szCs w:val="24"/>
        </w:rPr>
        <w:t>Cursó la Licenciatura en Psicología por la Universidad Autónoma de Nuevo León, posteriormente se especializó en la Promoción de la Salud y Prevención del Comportamiento Adictivo por la Universidad Nacional Autónoma de México y actualmente Maestrante en Psicología de la Salud en la Universidad Regiomontana desde 2024</w:t>
      </w:r>
    </w:p>
    <w:p w14:paraId="75C56263" w14:textId="77777777" w:rsidR="006D3B2B" w:rsidRDefault="006D3B2B">
      <w:pPr>
        <w:pStyle w:val="Ttulo3"/>
        <w:spacing w:after="0" w:line="276" w:lineRule="auto"/>
        <w:ind w:right="62"/>
        <w:jc w:val="both"/>
        <w:rPr>
          <w:rFonts w:ascii="Arial" w:eastAsia="Arial" w:hAnsi="Arial" w:cs="Arial"/>
          <w:b w:val="0"/>
          <w:sz w:val="24"/>
          <w:szCs w:val="24"/>
        </w:rPr>
      </w:pPr>
    </w:p>
    <w:p w14:paraId="00000006" w14:textId="1AC795AA" w:rsidR="004D1C89" w:rsidRDefault="00855186">
      <w:pPr>
        <w:pStyle w:val="Ttulo3"/>
        <w:spacing w:after="0" w:line="276" w:lineRule="auto"/>
        <w:ind w:right="62"/>
        <w:jc w:val="both"/>
        <w:rPr>
          <w:rFonts w:ascii="Arial" w:eastAsia="Arial" w:hAnsi="Arial" w:cs="Arial"/>
          <w:b w:val="0"/>
          <w:sz w:val="24"/>
          <w:szCs w:val="24"/>
        </w:rPr>
      </w:pPr>
      <w:r>
        <w:rPr>
          <w:rFonts w:ascii="Arial" w:eastAsia="Arial" w:hAnsi="Arial" w:cs="Arial"/>
          <w:b w:val="0"/>
          <w:sz w:val="24"/>
          <w:szCs w:val="24"/>
        </w:rPr>
        <w:t xml:space="preserve">Se ha desarrollado en el área de la Salud Mental y las Adicciones, cuenta con 21 años de experiencia en el diseño de acciones preventivas y atención de usuarios, es miembro activo de redes y comités de prevención en el Estado de Nuevo León, posee como visión el incremento de los factores de protección, así como la disminución de factores de riesgo en el ámbito social de los usuarios. </w:t>
      </w:r>
      <w:r>
        <w:rPr>
          <w:rFonts w:ascii="Arial" w:eastAsia="Arial" w:hAnsi="Arial" w:cs="Arial"/>
          <w:b w:val="0"/>
          <w:sz w:val="24"/>
          <w:szCs w:val="24"/>
        </w:rPr>
        <w:br/>
      </w:r>
    </w:p>
    <w:p w14:paraId="00000007" w14:textId="77777777" w:rsidR="004D1C89" w:rsidRDefault="00855186">
      <w:pPr>
        <w:pStyle w:val="Ttulo3"/>
        <w:spacing w:after="0" w:line="276" w:lineRule="auto"/>
        <w:ind w:right="62"/>
        <w:jc w:val="both"/>
        <w:rPr>
          <w:rFonts w:ascii="Arial" w:eastAsia="Arial" w:hAnsi="Arial" w:cs="Arial"/>
          <w:sz w:val="24"/>
          <w:szCs w:val="24"/>
          <w:u w:val="single"/>
        </w:rPr>
      </w:pPr>
      <w:r>
        <w:rPr>
          <w:rFonts w:ascii="Arial" w:eastAsia="Arial" w:hAnsi="Arial" w:cs="Arial"/>
          <w:sz w:val="32"/>
          <w:szCs w:val="32"/>
          <w:u w:val="single"/>
        </w:rPr>
        <w:t>Cursos</w:t>
      </w:r>
    </w:p>
    <w:p w14:paraId="00000008" w14:textId="77777777" w:rsidR="004D1C89" w:rsidRDefault="00855186">
      <w:pPr>
        <w:numPr>
          <w:ilvl w:val="0"/>
          <w:numId w:val="1"/>
        </w:numPr>
        <w:pBdr>
          <w:top w:val="nil"/>
          <w:left w:val="nil"/>
          <w:bottom w:val="nil"/>
          <w:right w:val="nil"/>
          <w:between w:val="nil"/>
        </w:pBdr>
        <w:spacing w:after="0"/>
        <w:ind w:right="62"/>
        <w:jc w:val="both"/>
        <w:rPr>
          <w:rFonts w:ascii="Arial" w:eastAsia="Arial" w:hAnsi="Arial" w:cs="Arial"/>
          <w:sz w:val="24"/>
          <w:szCs w:val="24"/>
        </w:rPr>
      </w:pPr>
      <w:r>
        <w:rPr>
          <w:rFonts w:ascii="Arial" w:eastAsia="Arial" w:hAnsi="Arial" w:cs="Arial"/>
          <w:sz w:val="24"/>
          <w:szCs w:val="24"/>
        </w:rPr>
        <w:t>Diplomado de especialización en identificación, valoración e intervención del comportamiento suicida. Organización Panamericana de la Salud.</w:t>
      </w:r>
    </w:p>
    <w:p w14:paraId="00000009" w14:textId="77777777" w:rsidR="004D1C89" w:rsidRDefault="00855186">
      <w:pPr>
        <w:numPr>
          <w:ilvl w:val="0"/>
          <w:numId w:val="1"/>
        </w:numPr>
        <w:pBdr>
          <w:top w:val="nil"/>
          <w:left w:val="nil"/>
          <w:bottom w:val="nil"/>
          <w:right w:val="nil"/>
          <w:between w:val="nil"/>
        </w:pBdr>
        <w:spacing w:after="0"/>
        <w:ind w:right="62"/>
        <w:jc w:val="both"/>
        <w:rPr>
          <w:rFonts w:ascii="Arial" w:eastAsia="Arial" w:hAnsi="Arial" w:cs="Arial"/>
          <w:sz w:val="24"/>
          <w:szCs w:val="24"/>
        </w:rPr>
      </w:pPr>
      <w:r>
        <w:rPr>
          <w:rFonts w:ascii="Arial" w:eastAsia="Arial" w:hAnsi="Arial" w:cs="Arial"/>
          <w:sz w:val="24"/>
          <w:szCs w:val="24"/>
        </w:rPr>
        <w:t xml:space="preserve">Guía de intervención para los trastornos mentales, neurológicos y por consumo de sustancias en el nivel de atención de salud no especializada. </w:t>
      </w:r>
      <w:proofErr w:type="spellStart"/>
      <w:r>
        <w:rPr>
          <w:rFonts w:ascii="Arial" w:eastAsia="Arial" w:hAnsi="Arial" w:cs="Arial"/>
          <w:sz w:val="24"/>
          <w:szCs w:val="24"/>
        </w:rPr>
        <w:t>mhGAP</w:t>
      </w:r>
      <w:proofErr w:type="spellEnd"/>
      <w:r>
        <w:rPr>
          <w:rFonts w:ascii="Arial" w:eastAsia="Arial" w:hAnsi="Arial" w:cs="Arial"/>
          <w:sz w:val="24"/>
          <w:szCs w:val="24"/>
        </w:rPr>
        <w:t>.  Organización Panamericana de la Salud. Secretaria de Gestión Integral de Riesgos.</w:t>
      </w:r>
    </w:p>
    <w:p w14:paraId="0000000A" w14:textId="77777777" w:rsidR="004D1C89" w:rsidRDefault="00855186">
      <w:pPr>
        <w:numPr>
          <w:ilvl w:val="0"/>
          <w:numId w:val="1"/>
        </w:numPr>
        <w:pBdr>
          <w:top w:val="nil"/>
          <w:left w:val="nil"/>
          <w:bottom w:val="nil"/>
          <w:right w:val="nil"/>
          <w:between w:val="nil"/>
        </w:pBdr>
        <w:spacing w:after="0"/>
        <w:ind w:right="62"/>
        <w:jc w:val="both"/>
        <w:rPr>
          <w:rFonts w:ascii="Arial" w:eastAsia="Arial" w:hAnsi="Arial" w:cs="Arial"/>
          <w:sz w:val="24"/>
          <w:szCs w:val="24"/>
        </w:rPr>
      </w:pPr>
      <w:r>
        <w:rPr>
          <w:rFonts w:ascii="Arial" w:eastAsia="Arial" w:hAnsi="Arial" w:cs="Arial"/>
          <w:sz w:val="24"/>
          <w:szCs w:val="24"/>
        </w:rPr>
        <w:t>Acciones Esenciales para la seguridad del paciente. Secretaría de Salud</w:t>
      </w:r>
    </w:p>
    <w:p w14:paraId="0000000B" w14:textId="77777777" w:rsidR="004D1C89" w:rsidRDefault="00855186">
      <w:pPr>
        <w:numPr>
          <w:ilvl w:val="0"/>
          <w:numId w:val="1"/>
        </w:numPr>
        <w:pBdr>
          <w:top w:val="nil"/>
          <w:left w:val="nil"/>
          <w:bottom w:val="nil"/>
          <w:right w:val="nil"/>
          <w:between w:val="nil"/>
        </w:pBdr>
        <w:spacing w:after="0"/>
        <w:ind w:right="62"/>
        <w:jc w:val="both"/>
        <w:rPr>
          <w:rFonts w:ascii="Arial" w:eastAsia="Arial" w:hAnsi="Arial" w:cs="Arial"/>
          <w:sz w:val="24"/>
          <w:szCs w:val="24"/>
        </w:rPr>
      </w:pPr>
      <w:r>
        <w:rPr>
          <w:rFonts w:ascii="Arial" w:eastAsia="Arial" w:hAnsi="Arial" w:cs="Arial"/>
          <w:sz w:val="24"/>
          <w:szCs w:val="24"/>
        </w:rPr>
        <w:t>Ludopatía y Juego Responsable. Secretaría de Salud</w:t>
      </w:r>
    </w:p>
    <w:p w14:paraId="0000000C" w14:textId="77777777" w:rsidR="004D1C89" w:rsidRDefault="00855186">
      <w:pPr>
        <w:numPr>
          <w:ilvl w:val="0"/>
          <w:numId w:val="1"/>
        </w:numPr>
        <w:pBdr>
          <w:top w:val="nil"/>
          <w:left w:val="nil"/>
          <w:bottom w:val="nil"/>
          <w:right w:val="nil"/>
          <w:between w:val="nil"/>
        </w:pBdr>
        <w:spacing w:after="0"/>
        <w:ind w:right="62"/>
        <w:jc w:val="both"/>
        <w:rPr>
          <w:rFonts w:ascii="Arial" w:eastAsia="Arial" w:hAnsi="Arial" w:cs="Arial"/>
          <w:sz w:val="24"/>
          <w:szCs w:val="24"/>
        </w:rPr>
      </w:pPr>
      <w:r>
        <w:rPr>
          <w:rFonts w:ascii="Arial" w:eastAsia="Arial" w:hAnsi="Arial" w:cs="Arial"/>
          <w:sz w:val="24"/>
          <w:szCs w:val="24"/>
        </w:rPr>
        <w:t>Dictaminadora de Proyectos Sociales. SEDESOL</w:t>
      </w:r>
    </w:p>
    <w:p w14:paraId="0000000D" w14:textId="77777777" w:rsidR="004D1C89" w:rsidRDefault="00855186">
      <w:pPr>
        <w:numPr>
          <w:ilvl w:val="0"/>
          <w:numId w:val="1"/>
        </w:numPr>
        <w:pBdr>
          <w:top w:val="nil"/>
          <w:left w:val="nil"/>
          <w:bottom w:val="nil"/>
          <w:right w:val="nil"/>
          <w:between w:val="nil"/>
        </w:pBdr>
        <w:spacing w:after="0"/>
        <w:ind w:right="62"/>
        <w:jc w:val="both"/>
        <w:rPr>
          <w:rFonts w:ascii="Arial" w:eastAsia="Arial" w:hAnsi="Arial" w:cs="Arial"/>
          <w:sz w:val="24"/>
          <w:szCs w:val="24"/>
        </w:rPr>
      </w:pPr>
      <w:r>
        <w:rPr>
          <w:rFonts w:ascii="Arial" w:eastAsia="Arial" w:hAnsi="Arial" w:cs="Arial"/>
          <w:sz w:val="24"/>
          <w:szCs w:val="24"/>
        </w:rPr>
        <w:t>Técnicas de Intervención en Crisis y Situaciones de Riesgo. Secretaría de Salud</w:t>
      </w:r>
    </w:p>
    <w:p w14:paraId="0000000E" w14:textId="77777777" w:rsidR="004D1C89" w:rsidRDefault="004D1C89">
      <w:pPr>
        <w:pStyle w:val="Ttulo3"/>
        <w:spacing w:after="0" w:line="276" w:lineRule="auto"/>
        <w:ind w:right="62"/>
        <w:jc w:val="both"/>
        <w:rPr>
          <w:rFonts w:ascii="Arial" w:eastAsia="Arial" w:hAnsi="Arial" w:cs="Arial"/>
          <w:sz w:val="24"/>
          <w:szCs w:val="24"/>
        </w:rPr>
      </w:pPr>
    </w:p>
    <w:p w14:paraId="0000000F" w14:textId="77777777" w:rsidR="004D1C89" w:rsidRDefault="00855186">
      <w:pPr>
        <w:pStyle w:val="Ttulo3"/>
        <w:spacing w:after="0" w:line="276" w:lineRule="auto"/>
        <w:ind w:right="62"/>
        <w:jc w:val="both"/>
        <w:rPr>
          <w:rFonts w:ascii="Arial" w:eastAsia="Arial" w:hAnsi="Arial" w:cs="Arial"/>
          <w:sz w:val="24"/>
          <w:szCs w:val="24"/>
          <w:u w:val="single"/>
        </w:rPr>
      </w:pPr>
      <w:r>
        <w:rPr>
          <w:rFonts w:ascii="Arial" w:eastAsia="Arial" w:hAnsi="Arial" w:cs="Arial"/>
          <w:sz w:val="32"/>
          <w:szCs w:val="32"/>
          <w:u w:val="single"/>
        </w:rPr>
        <w:t>Actividades Profesionales</w:t>
      </w:r>
    </w:p>
    <w:p w14:paraId="00000010" w14:textId="77777777" w:rsidR="004D1C89" w:rsidRDefault="00855186">
      <w:pPr>
        <w:spacing w:after="0"/>
        <w:ind w:right="62"/>
        <w:jc w:val="both"/>
        <w:rPr>
          <w:rFonts w:ascii="Arial" w:eastAsia="Arial" w:hAnsi="Arial" w:cs="Arial"/>
          <w:sz w:val="24"/>
          <w:szCs w:val="24"/>
        </w:rPr>
      </w:pPr>
      <w:r>
        <w:rPr>
          <w:rFonts w:ascii="Arial" w:eastAsia="Arial" w:hAnsi="Arial" w:cs="Arial"/>
          <w:sz w:val="24"/>
          <w:szCs w:val="24"/>
        </w:rPr>
        <w:t>En el ámbito del Servicio Público se ha desempeñado como Directora de Salud en la Secretaría de Desarrollo Humano e Igualdad Sustantiva del Gobierno de Monterrey. Realizando acciones de planeación, dirección y seguimiento de acciones de la Dirección de Salud, para alcanzar los objetivos del Plan Municipal de Desarrollo 2021-2024, bajo esquemas de calidad, eficiencia y mejora continua en la gestión gubernamental. Periodo octubre 2021-septiembre 2024</w:t>
      </w:r>
    </w:p>
    <w:p w14:paraId="00000011" w14:textId="77777777" w:rsidR="004D1C89" w:rsidRDefault="004D1C89">
      <w:pPr>
        <w:spacing w:after="0"/>
        <w:ind w:right="62"/>
        <w:jc w:val="both"/>
        <w:rPr>
          <w:rFonts w:ascii="Arial" w:eastAsia="Arial" w:hAnsi="Arial" w:cs="Arial"/>
          <w:sz w:val="24"/>
          <w:szCs w:val="24"/>
        </w:rPr>
      </w:pPr>
    </w:p>
    <w:p w14:paraId="00000012" w14:textId="5293CFE9" w:rsidR="004D1C89" w:rsidRDefault="00855186">
      <w:pPr>
        <w:spacing w:after="0"/>
        <w:ind w:right="62"/>
        <w:jc w:val="both"/>
        <w:rPr>
          <w:rFonts w:ascii="Arial" w:eastAsia="Arial" w:hAnsi="Arial" w:cs="Arial"/>
          <w:sz w:val="24"/>
          <w:szCs w:val="24"/>
        </w:rPr>
      </w:pPr>
      <w:r>
        <w:rPr>
          <w:rFonts w:ascii="Arial" w:eastAsia="Arial" w:hAnsi="Arial" w:cs="Arial"/>
          <w:sz w:val="24"/>
          <w:szCs w:val="24"/>
        </w:rPr>
        <w:lastRenderedPageBreak/>
        <w:t>Ha fungido como Responsable del Centro de Atención Primaria en Adicciones. CAPA SAN BERNABÉ II.  Diseñando, ejecutando y supervisando acciones de atención primaria adolescentes y adultos en situaciones de vulnerabilidad, que se encontraban en fase de uso, abuso y/o dependencia al alcohol y drogas. Periodo septiembre 2009- 15 octubre 2021</w:t>
      </w:r>
    </w:p>
    <w:p w14:paraId="0B9BFB3C" w14:textId="77777777" w:rsidR="006D3B2B" w:rsidRDefault="006D3B2B">
      <w:pPr>
        <w:spacing w:after="0"/>
        <w:ind w:right="62"/>
        <w:jc w:val="both"/>
        <w:rPr>
          <w:rFonts w:ascii="Arial" w:eastAsia="Arial" w:hAnsi="Arial" w:cs="Arial"/>
          <w:sz w:val="24"/>
          <w:szCs w:val="24"/>
        </w:rPr>
      </w:pPr>
    </w:p>
    <w:p w14:paraId="00000014" w14:textId="617F4698" w:rsidR="004D1C89" w:rsidRDefault="00855186" w:rsidP="006D3B2B">
      <w:pPr>
        <w:spacing w:after="0"/>
        <w:ind w:right="62"/>
        <w:jc w:val="both"/>
        <w:rPr>
          <w:rFonts w:ascii="Arial" w:eastAsia="Arial" w:hAnsi="Arial" w:cs="Arial"/>
          <w:sz w:val="24"/>
          <w:szCs w:val="24"/>
        </w:rPr>
      </w:pPr>
      <w:r>
        <w:rPr>
          <w:rFonts w:ascii="Arial" w:eastAsia="Arial" w:hAnsi="Arial" w:cs="Arial"/>
          <w:sz w:val="24"/>
          <w:szCs w:val="24"/>
        </w:rPr>
        <w:t>Se desempeñó como Enlace Social del Programa Rescate de Espacios Públicos Secretaría de Desarrollo Social. Delegación N.L. en la cual supervisaba el ejercicio de la Modalidad de Participación Social y Seguridad Comunitaria del Programa. Periodo julio 2007-agosto 2009</w:t>
      </w:r>
    </w:p>
    <w:p w14:paraId="6AC4205D" w14:textId="77777777" w:rsidR="006D3B2B" w:rsidRDefault="006D3B2B" w:rsidP="006D3B2B">
      <w:pPr>
        <w:spacing w:after="0"/>
        <w:ind w:right="62"/>
        <w:jc w:val="both"/>
        <w:rPr>
          <w:rFonts w:ascii="Arial" w:eastAsia="Arial" w:hAnsi="Arial" w:cs="Arial"/>
          <w:sz w:val="24"/>
          <w:szCs w:val="24"/>
          <w:u w:val="single"/>
        </w:rPr>
      </w:pPr>
      <w:bookmarkStart w:id="1" w:name="_GoBack"/>
      <w:bookmarkEnd w:id="1"/>
    </w:p>
    <w:p w14:paraId="00000015" w14:textId="77777777" w:rsidR="004D1C89" w:rsidRDefault="004D1C89">
      <w:pPr>
        <w:pBdr>
          <w:top w:val="nil"/>
          <w:left w:val="nil"/>
          <w:bottom w:val="nil"/>
          <w:right w:val="nil"/>
          <w:between w:val="nil"/>
        </w:pBdr>
        <w:shd w:val="clear" w:color="auto" w:fill="FFFFFF"/>
        <w:spacing w:after="0" w:line="240" w:lineRule="auto"/>
        <w:ind w:right="62"/>
        <w:jc w:val="both"/>
        <w:rPr>
          <w:rFonts w:ascii="Arial" w:eastAsia="Arial" w:hAnsi="Arial" w:cs="Arial"/>
          <w:b/>
          <w:sz w:val="26"/>
          <w:szCs w:val="26"/>
        </w:rPr>
      </w:pPr>
    </w:p>
    <w:sectPr w:rsidR="004D1C89">
      <w:footerReference w:type="default" r:id="rId8"/>
      <w:pgSz w:w="12240" w:h="15840"/>
      <w:pgMar w:top="1133"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B55AB" w14:textId="77777777" w:rsidR="00584F6D" w:rsidRDefault="00584F6D">
      <w:pPr>
        <w:spacing w:after="0" w:line="240" w:lineRule="auto"/>
      </w:pPr>
      <w:r>
        <w:separator/>
      </w:r>
    </w:p>
  </w:endnote>
  <w:endnote w:type="continuationSeparator" w:id="0">
    <w:p w14:paraId="1B35E298" w14:textId="77777777" w:rsidR="00584F6D" w:rsidRDefault="0058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6" w14:textId="35095C60" w:rsidR="004D1C89" w:rsidRDefault="00855186">
    <w:pPr>
      <w:jc w:val="right"/>
      <w:rPr>
        <w:rFonts w:ascii="Arial" w:eastAsia="Arial" w:hAnsi="Arial" w:cs="Arial"/>
        <w:sz w:val="24"/>
        <w:szCs w:val="24"/>
      </w:rPr>
    </w:pPr>
    <w:r>
      <w:rPr>
        <w:rFonts w:ascii="Arial" w:eastAsia="Arial" w:hAnsi="Arial" w:cs="Arial"/>
        <w:sz w:val="24"/>
        <w:szCs w:val="24"/>
      </w:rPr>
      <w:fldChar w:fldCharType="begin"/>
    </w:r>
    <w:r>
      <w:rPr>
        <w:rFonts w:ascii="Arial" w:eastAsia="Arial" w:hAnsi="Arial" w:cs="Arial"/>
        <w:sz w:val="24"/>
        <w:szCs w:val="24"/>
      </w:rPr>
      <w:instrText>PAGE</w:instrText>
    </w:r>
    <w:r>
      <w:rPr>
        <w:rFonts w:ascii="Arial" w:eastAsia="Arial" w:hAnsi="Arial" w:cs="Arial"/>
        <w:sz w:val="24"/>
        <w:szCs w:val="24"/>
      </w:rPr>
      <w:fldChar w:fldCharType="separate"/>
    </w:r>
    <w:r w:rsidR="006D3B2B">
      <w:rPr>
        <w:rFonts w:ascii="Arial" w:eastAsia="Arial" w:hAnsi="Arial" w:cs="Arial"/>
        <w:noProof/>
        <w:sz w:val="24"/>
        <w:szCs w:val="24"/>
      </w:rPr>
      <w:t>2</w:t>
    </w:r>
    <w:r>
      <w:rPr>
        <w:rFonts w:ascii="Arial" w:eastAsia="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C6C67" w14:textId="77777777" w:rsidR="00584F6D" w:rsidRDefault="00584F6D">
      <w:pPr>
        <w:spacing w:after="0" w:line="240" w:lineRule="auto"/>
      </w:pPr>
      <w:r>
        <w:separator/>
      </w:r>
    </w:p>
  </w:footnote>
  <w:footnote w:type="continuationSeparator" w:id="0">
    <w:p w14:paraId="1CCA10FF" w14:textId="77777777" w:rsidR="00584F6D" w:rsidRDefault="00584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20786"/>
    <w:multiLevelType w:val="multilevel"/>
    <w:tmpl w:val="807A4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89"/>
    <w:rsid w:val="004D1C89"/>
    <w:rsid w:val="00584F6D"/>
    <w:rsid w:val="006D3B2B"/>
    <w:rsid w:val="00855186"/>
    <w:rsid w:val="00AC04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A387"/>
  <w15:docId w15:val="{BAEBF242-EB18-4D48-BB94-DAFE1795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Ttulo2Car">
    <w:name w:val="Título 2 Car"/>
    <w:basedOn w:val="Fuentedeprrafopredeter"/>
    <w:uiPriority w:val="9"/>
    <w:rsid w:val="00BA733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uiPriority w:val="9"/>
    <w:rsid w:val="00BA733D"/>
    <w:rPr>
      <w:rFonts w:ascii="Times New Roman" w:eastAsia="Times New Roman" w:hAnsi="Times New Roman" w:cs="Times New Roman"/>
      <w:b/>
      <w:bCs/>
      <w:sz w:val="27"/>
      <w:szCs w:val="27"/>
      <w:lang w:eastAsia="es-MX"/>
    </w:rPr>
  </w:style>
  <w:style w:type="paragraph" w:customStyle="1" w:styleId="enfasis">
    <w:name w:val="enfasis"/>
    <w:basedOn w:val="Normal"/>
    <w:rsid w:val="00BA733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A733D"/>
    <w:rPr>
      <w:color w:val="0000FF"/>
      <w:u w:val="single"/>
    </w:rPr>
  </w:style>
  <w:style w:type="paragraph" w:customStyle="1" w:styleId="sangria">
    <w:name w:val="sangria"/>
    <w:basedOn w:val="Normal"/>
    <w:rsid w:val="00BA733D"/>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1A63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6337"/>
    <w:rPr>
      <w:rFonts w:ascii="Segoe UI" w:hAnsi="Segoe UI" w:cs="Segoe UI"/>
      <w:sz w:val="18"/>
      <w:szCs w:val="18"/>
    </w:rPr>
  </w:style>
  <w:style w:type="paragraph" w:styleId="Encabezado">
    <w:name w:val="header"/>
    <w:basedOn w:val="Normal"/>
    <w:link w:val="EncabezadoCar"/>
    <w:uiPriority w:val="99"/>
    <w:unhideWhenUsed/>
    <w:rsid w:val="00F21C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1CF2"/>
  </w:style>
  <w:style w:type="paragraph" w:styleId="Piedepgina">
    <w:name w:val="footer"/>
    <w:basedOn w:val="Normal"/>
    <w:link w:val="PiedepginaCar"/>
    <w:uiPriority w:val="99"/>
    <w:unhideWhenUsed/>
    <w:rsid w:val="00F21C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1CF2"/>
  </w:style>
  <w:style w:type="paragraph" w:styleId="Prrafodelista">
    <w:name w:val="List Paragraph"/>
    <w:basedOn w:val="Normal"/>
    <w:uiPriority w:val="34"/>
    <w:qFormat/>
    <w:rsid w:val="00C0782E"/>
    <w:pPr>
      <w:spacing w:after="160" w:line="259" w:lineRule="auto"/>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65mL9w/nihjaw23MDt5AYN0Mw==">CgMxLjAyDmgueGV1bnI2dG9oOTZkOAByITE5clIxS0xPcnR5MWxEWDNFUGdZd0hsaVNCMHB4Qk1Jag==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2197</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Carolina Rodriguez Salazar</dc:creator>
  <cp:lastModifiedBy>Gabriela Berenice Nava Andrade</cp:lastModifiedBy>
  <cp:revision>3</cp:revision>
  <dcterms:created xsi:type="dcterms:W3CDTF">2025-07-02T20:43:00Z</dcterms:created>
  <dcterms:modified xsi:type="dcterms:W3CDTF">2025-08-05T22:36:00Z</dcterms:modified>
</cp:coreProperties>
</file>