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043" w:rsidRPr="00140043" w:rsidRDefault="00140043" w:rsidP="00140043">
      <w:pPr>
        <w:pStyle w:val="sangria"/>
        <w:shd w:val="clear" w:color="auto" w:fill="FFFFFF"/>
        <w:spacing w:before="0" w:beforeAutospacing="0" w:after="225" w:afterAutospacing="0" w:line="360" w:lineRule="atLeast"/>
        <w:jc w:val="center"/>
        <w:rPr>
          <w:rFonts w:ascii="Century Gothic" w:hAnsi="Century Gothic" w:cs="Arial"/>
          <w:b/>
          <w:bCs/>
          <w:color w:val="404040" w:themeColor="text1" w:themeTint="BF"/>
          <w:sz w:val="32"/>
        </w:rPr>
      </w:pPr>
      <w:r w:rsidRPr="00140043">
        <w:rPr>
          <w:rFonts w:ascii="Century Gothic" w:hAnsi="Century Gothic" w:cs="Arial"/>
          <w:b/>
          <w:bCs/>
          <w:color w:val="404040" w:themeColor="text1" w:themeTint="BF"/>
          <w:sz w:val="32"/>
        </w:rPr>
        <w:t>Mtro. Alejandro Ayala Marroquín</w:t>
      </w:r>
    </w:p>
    <w:p w:rsidR="00140043" w:rsidRPr="00140043" w:rsidRDefault="00140043" w:rsidP="00140043">
      <w:pPr>
        <w:pStyle w:val="sangria"/>
        <w:shd w:val="clear" w:color="auto" w:fill="FFFFFF"/>
        <w:spacing w:before="0" w:beforeAutospacing="0" w:after="225" w:afterAutospacing="0" w:line="360" w:lineRule="atLeast"/>
        <w:jc w:val="both"/>
        <w:rPr>
          <w:rFonts w:ascii="Century Gothic" w:hAnsi="Century Gothic" w:cs="Arial"/>
          <w:shd w:val="clear" w:color="auto" w:fill="FFFFFF"/>
        </w:rPr>
      </w:pPr>
      <w:r w:rsidRPr="00140043">
        <w:rPr>
          <w:rFonts w:ascii="Century Gothic" w:hAnsi="Century Gothic" w:cs="Arial"/>
          <w:shd w:val="clear" w:color="auto" w:fill="FFFFFF"/>
        </w:rPr>
        <w:t xml:space="preserve">Fue designado Coordinador de </w:t>
      </w:r>
      <w:r w:rsidRPr="00140043">
        <w:rPr>
          <w:rFonts w:ascii="Century Gothic" w:hAnsi="Century Gothic" w:cs="Arial"/>
          <w:shd w:val="clear" w:color="auto" w:fill="FFFFFF"/>
        </w:rPr>
        <w:t xml:space="preserve">Oficina de la Secretaria de Desarrollo Humano e Igualdad Sustantiva en el mes de mayo del 2025. </w:t>
      </w:r>
    </w:p>
    <w:p w:rsidR="00B3045C" w:rsidRPr="00B3045C" w:rsidRDefault="00140043" w:rsidP="00B3045C">
      <w:pPr>
        <w:pStyle w:val="Ttulo3"/>
        <w:spacing w:before="0" w:beforeAutospacing="0" w:after="0" w:afterAutospacing="0"/>
        <w:jc w:val="both"/>
        <w:rPr>
          <w:rFonts w:ascii="Century Gothic" w:hAnsi="Century Gothic" w:cs="Arial"/>
          <w:color w:val="404040" w:themeColor="text1" w:themeTint="BF"/>
          <w:sz w:val="24"/>
          <w:szCs w:val="24"/>
          <w:u w:val="single"/>
        </w:rPr>
      </w:pPr>
      <w:r w:rsidRPr="00140043">
        <w:rPr>
          <w:rFonts w:ascii="Century Gothic" w:hAnsi="Century Gothic" w:cs="Arial"/>
          <w:color w:val="404040" w:themeColor="text1" w:themeTint="BF"/>
          <w:sz w:val="24"/>
          <w:szCs w:val="24"/>
          <w:u w:val="single"/>
        </w:rPr>
        <w:t>Actividades Académicas</w:t>
      </w:r>
    </w:p>
    <w:p w:rsidR="00B3045C" w:rsidRDefault="00B3045C" w:rsidP="00B3045C">
      <w:pPr>
        <w:jc w:val="both"/>
        <w:rPr>
          <w:rFonts w:ascii="Century Gothic" w:hAnsi="Century Gothic"/>
          <w:sz w:val="24"/>
        </w:rPr>
      </w:pPr>
      <w:r>
        <w:rPr>
          <w:rFonts w:ascii="Century Gothic" w:hAnsi="Century Gothic"/>
          <w:sz w:val="24"/>
        </w:rPr>
        <w:t>Curso la Licenciatura</w:t>
      </w:r>
      <w:r w:rsidRPr="00927045">
        <w:rPr>
          <w:rFonts w:ascii="Century Gothic" w:hAnsi="Century Gothic"/>
          <w:sz w:val="24"/>
        </w:rPr>
        <w:t xml:space="preserve"> en Derecho</w:t>
      </w:r>
      <w:r>
        <w:rPr>
          <w:rFonts w:ascii="Century Gothic" w:hAnsi="Century Gothic"/>
          <w:sz w:val="24"/>
        </w:rPr>
        <w:t xml:space="preserve"> en l</w:t>
      </w:r>
      <w:r w:rsidRPr="00927045">
        <w:rPr>
          <w:rFonts w:ascii="Century Gothic" w:hAnsi="Century Gothic"/>
          <w:sz w:val="24"/>
        </w:rPr>
        <w:t>a Facultad de Derecho y Criminología de la Universidad Autónoma de Nuevo León, donde cursó sus estudios de agosto de 2017 a junio de 2022, con concentración en Derecho Administrativo y Función Pública. Como reconocimiento a su excelencia académica, fue acreedor al Premio CENEVAL al Desempeño de Excelencia en el EGEL</w:t>
      </w:r>
      <w:r>
        <w:rPr>
          <w:rFonts w:ascii="Century Gothic" w:hAnsi="Century Gothic"/>
          <w:sz w:val="24"/>
        </w:rPr>
        <w:t>.</w:t>
      </w:r>
    </w:p>
    <w:p w:rsidR="00B3045C" w:rsidRPr="00B3045C" w:rsidRDefault="00B3045C" w:rsidP="00B3045C">
      <w:pPr>
        <w:jc w:val="both"/>
        <w:rPr>
          <w:rFonts w:ascii="Century Gothic" w:hAnsi="Century Gothic"/>
          <w:sz w:val="24"/>
          <w:szCs w:val="24"/>
        </w:rPr>
      </w:pPr>
      <w:r>
        <w:rPr>
          <w:rFonts w:ascii="Century Gothic" w:hAnsi="Century Gothic"/>
          <w:sz w:val="24"/>
          <w:szCs w:val="24"/>
        </w:rPr>
        <w:t>Posteriormente realizó una Maestría e</w:t>
      </w:r>
      <w:r w:rsidRPr="00D359F5">
        <w:rPr>
          <w:rFonts w:ascii="Century Gothic" w:hAnsi="Century Gothic"/>
          <w:sz w:val="24"/>
          <w:szCs w:val="24"/>
        </w:rPr>
        <w:t>n Derecho Administrativo y Función Pública por la misma institución, grado obtenido entre agosto de 2022 y septiembre de 2024. Durante estos estudios recibió mención honorífica con tesina laureada por el trabajo titulado “El principio de transparencia como fundamento de la digitalización a efecto de la contratación pública en México”</w:t>
      </w:r>
      <w:r>
        <w:rPr>
          <w:rFonts w:ascii="Century Gothic" w:hAnsi="Century Gothic"/>
          <w:sz w:val="24"/>
          <w:szCs w:val="24"/>
        </w:rPr>
        <w:t>.</w:t>
      </w:r>
    </w:p>
    <w:p w:rsidR="00140043" w:rsidRDefault="00140043" w:rsidP="00140043">
      <w:pPr>
        <w:pStyle w:val="sangria"/>
        <w:shd w:val="clear" w:color="auto" w:fill="FFFFFF"/>
        <w:spacing w:before="0" w:beforeAutospacing="0" w:after="225" w:afterAutospacing="0" w:line="360" w:lineRule="atLeast"/>
        <w:jc w:val="both"/>
        <w:rPr>
          <w:rFonts w:ascii="Century Gothic" w:hAnsi="Century Gothic"/>
        </w:rPr>
      </w:pPr>
      <w:r w:rsidRPr="00140043">
        <w:rPr>
          <w:rFonts w:ascii="Century Gothic" w:hAnsi="Century Gothic"/>
        </w:rPr>
        <w:t xml:space="preserve">Actualmente, cursa el </w:t>
      </w:r>
      <w:r w:rsidRPr="00140043">
        <w:rPr>
          <w:rStyle w:val="Textoennegrita"/>
          <w:rFonts w:ascii="Century Gothic" w:hAnsi="Century Gothic"/>
          <w:b w:val="0"/>
        </w:rPr>
        <w:t>Doctorado en Derecho Constitucional y Gobernabilidad</w:t>
      </w:r>
      <w:r w:rsidRPr="00140043">
        <w:rPr>
          <w:rFonts w:ascii="Century Gothic" w:hAnsi="Century Gothic"/>
        </w:rPr>
        <w:t xml:space="preserve"> en la </w:t>
      </w:r>
      <w:r w:rsidRPr="00140043">
        <w:rPr>
          <w:rStyle w:val="Textoennegrita"/>
          <w:rFonts w:ascii="Century Gothic" w:hAnsi="Century Gothic"/>
          <w:b w:val="0"/>
        </w:rPr>
        <w:t>Facultad de Derecho y Criminología de la Universidad Autónoma de Nuevo León</w:t>
      </w:r>
      <w:r w:rsidRPr="00140043">
        <w:rPr>
          <w:rFonts w:ascii="Century Gothic" w:hAnsi="Century Gothic"/>
        </w:rPr>
        <w:t xml:space="preserve">. Su línea de investigación se centra en la </w:t>
      </w:r>
      <w:r w:rsidRPr="00140043">
        <w:rPr>
          <w:rStyle w:val="nfasis"/>
          <w:rFonts w:ascii="Century Gothic" w:hAnsi="Century Gothic"/>
        </w:rPr>
        <w:t>reconstrucción del derecho en contextos automatizados</w:t>
      </w:r>
      <w:r w:rsidRPr="00140043">
        <w:rPr>
          <w:rFonts w:ascii="Century Gothic" w:hAnsi="Century Gothic"/>
        </w:rPr>
        <w:t>, abordando problemáticas de insuficiencia jurídica, transparencia y derechos digitales.</w:t>
      </w:r>
    </w:p>
    <w:p w:rsidR="00140043" w:rsidRPr="00140043" w:rsidRDefault="00140043" w:rsidP="00140043">
      <w:pPr>
        <w:pStyle w:val="Ttulo3"/>
        <w:spacing w:before="0" w:beforeAutospacing="0" w:after="0" w:afterAutospacing="0"/>
        <w:jc w:val="both"/>
        <w:rPr>
          <w:rStyle w:val="Hipervnculo"/>
          <w:rFonts w:ascii="Century Gothic" w:hAnsi="Century Gothic"/>
          <w:color w:val="404040" w:themeColor="text1" w:themeTint="BF"/>
          <w:sz w:val="24"/>
          <w:szCs w:val="24"/>
        </w:rPr>
      </w:pPr>
      <w:r w:rsidRPr="00140043">
        <w:rPr>
          <w:rStyle w:val="Hipervnculo"/>
          <w:rFonts w:ascii="Century Gothic" w:hAnsi="Century Gothic"/>
          <w:color w:val="404040" w:themeColor="text1" w:themeTint="BF"/>
          <w:sz w:val="24"/>
          <w:szCs w:val="24"/>
        </w:rPr>
        <w:t>Cursos</w:t>
      </w:r>
    </w:p>
    <w:p w:rsidR="00B3045C" w:rsidRPr="00066496" w:rsidRDefault="00B3045C" w:rsidP="00B3045C">
      <w:pPr>
        <w:pStyle w:val="Prrafodelista"/>
        <w:numPr>
          <w:ilvl w:val="0"/>
          <w:numId w:val="2"/>
        </w:numPr>
        <w:rPr>
          <w:rFonts w:ascii="Century Gothic" w:hAnsi="Century Gothic"/>
          <w:sz w:val="24"/>
          <w:szCs w:val="24"/>
        </w:rPr>
      </w:pPr>
      <w:r w:rsidRPr="00066496">
        <w:rPr>
          <w:rFonts w:ascii="Century Gothic" w:hAnsi="Century Gothic"/>
          <w:sz w:val="24"/>
          <w:szCs w:val="24"/>
        </w:rPr>
        <w:t>Diplomado en Sistema de Justicia Penal Acusatorio (114 horas - FACDYC, UANL)</w:t>
      </w:r>
    </w:p>
    <w:p w:rsidR="00B3045C" w:rsidRPr="00066496" w:rsidRDefault="00B3045C" w:rsidP="00B3045C">
      <w:pPr>
        <w:pStyle w:val="Prrafodelista"/>
        <w:numPr>
          <w:ilvl w:val="0"/>
          <w:numId w:val="2"/>
        </w:numPr>
        <w:rPr>
          <w:rFonts w:ascii="Century Gothic" w:hAnsi="Century Gothic"/>
          <w:sz w:val="24"/>
          <w:szCs w:val="24"/>
        </w:rPr>
      </w:pPr>
      <w:r w:rsidRPr="00066496">
        <w:rPr>
          <w:rFonts w:ascii="Century Gothic" w:hAnsi="Century Gothic"/>
          <w:sz w:val="24"/>
          <w:szCs w:val="24"/>
        </w:rPr>
        <w:t xml:space="preserve">Taller en Técnicas de Mediación y Negociación (40 Horas - American Bar Association Rule of Law Initiative) </w:t>
      </w:r>
    </w:p>
    <w:p w:rsidR="00B3045C" w:rsidRPr="00066496" w:rsidRDefault="00B3045C" w:rsidP="00B3045C">
      <w:pPr>
        <w:pStyle w:val="Prrafodelista"/>
        <w:numPr>
          <w:ilvl w:val="0"/>
          <w:numId w:val="2"/>
        </w:numPr>
        <w:rPr>
          <w:rFonts w:ascii="Century Gothic" w:hAnsi="Century Gothic"/>
          <w:sz w:val="24"/>
          <w:szCs w:val="24"/>
        </w:rPr>
      </w:pPr>
      <w:r w:rsidRPr="00066496">
        <w:rPr>
          <w:rFonts w:ascii="Century Gothic" w:hAnsi="Century Gothic"/>
          <w:sz w:val="24"/>
          <w:szCs w:val="24"/>
        </w:rPr>
        <w:t>Diplomado de Amparo (104 Horas - FACDYC, UANL)</w:t>
      </w:r>
    </w:p>
    <w:p w:rsidR="00B3045C" w:rsidRPr="00066496" w:rsidRDefault="00B3045C" w:rsidP="00B3045C">
      <w:pPr>
        <w:pStyle w:val="Prrafodelista"/>
        <w:numPr>
          <w:ilvl w:val="0"/>
          <w:numId w:val="2"/>
        </w:numPr>
        <w:rPr>
          <w:rFonts w:ascii="Century Gothic" w:hAnsi="Century Gothic"/>
          <w:sz w:val="24"/>
          <w:szCs w:val="24"/>
        </w:rPr>
      </w:pPr>
      <w:r w:rsidRPr="00066496">
        <w:rPr>
          <w:rFonts w:ascii="Century Gothic" w:hAnsi="Century Gothic"/>
          <w:sz w:val="24"/>
          <w:szCs w:val="24"/>
        </w:rPr>
        <w:t>Diplomado en Derecho Laboral (30 Horas - Centro de Estudios Jurídicos Carbonell)</w:t>
      </w:r>
    </w:p>
    <w:p w:rsidR="00B3045C" w:rsidRPr="00066496" w:rsidRDefault="00B3045C" w:rsidP="00B3045C">
      <w:pPr>
        <w:pStyle w:val="Prrafodelista"/>
        <w:numPr>
          <w:ilvl w:val="0"/>
          <w:numId w:val="2"/>
        </w:numPr>
        <w:rPr>
          <w:rFonts w:ascii="Century Gothic" w:hAnsi="Century Gothic"/>
          <w:sz w:val="24"/>
          <w:szCs w:val="24"/>
        </w:rPr>
      </w:pPr>
      <w:r w:rsidRPr="00066496">
        <w:rPr>
          <w:rFonts w:ascii="Century Gothic" w:hAnsi="Century Gothic"/>
          <w:sz w:val="24"/>
          <w:szCs w:val="24"/>
        </w:rPr>
        <w:t>Diplomado en Derecho Parlamentario, Política, y Técnica Legislativa (90 Horas - FACDYC, UANL)</w:t>
      </w:r>
    </w:p>
    <w:p w:rsidR="00B3045C" w:rsidRPr="00066496" w:rsidRDefault="00B3045C" w:rsidP="00B3045C">
      <w:pPr>
        <w:pStyle w:val="Prrafodelista"/>
        <w:numPr>
          <w:ilvl w:val="0"/>
          <w:numId w:val="2"/>
        </w:numPr>
        <w:rPr>
          <w:rFonts w:ascii="Century Gothic" w:hAnsi="Century Gothic"/>
          <w:sz w:val="24"/>
          <w:szCs w:val="24"/>
        </w:rPr>
      </w:pPr>
      <w:r w:rsidRPr="00066496">
        <w:rPr>
          <w:rFonts w:ascii="Century Gothic" w:hAnsi="Century Gothic"/>
          <w:sz w:val="24"/>
          <w:szCs w:val="24"/>
        </w:rPr>
        <w:t>Diplomado en Derecho Administrativo, Administración Pública y Justicia Administrativa (150 Horas - FACDYC, UANL)</w:t>
      </w:r>
    </w:p>
    <w:p w:rsidR="00B3045C" w:rsidRPr="00066496" w:rsidRDefault="00B3045C" w:rsidP="00B3045C">
      <w:pPr>
        <w:pStyle w:val="Prrafodelista"/>
        <w:numPr>
          <w:ilvl w:val="0"/>
          <w:numId w:val="2"/>
        </w:numPr>
        <w:rPr>
          <w:rFonts w:ascii="Century Gothic" w:hAnsi="Century Gothic"/>
          <w:sz w:val="24"/>
          <w:szCs w:val="24"/>
        </w:rPr>
      </w:pPr>
      <w:r w:rsidRPr="00066496">
        <w:rPr>
          <w:rFonts w:ascii="Century Gothic" w:hAnsi="Century Gothic"/>
          <w:sz w:val="24"/>
          <w:szCs w:val="24"/>
        </w:rPr>
        <w:t>Diplomado en Derecho Electoral (104 Horas - FACDYC, UANL)</w:t>
      </w:r>
    </w:p>
    <w:p w:rsidR="00B3045C" w:rsidRPr="00066496" w:rsidRDefault="00B3045C" w:rsidP="00B3045C">
      <w:pPr>
        <w:pStyle w:val="Prrafodelista"/>
        <w:numPr>
          <w:ilvl w:val="0"/>
          <w:numId w:val="2"/>
        </w:numPr>
        <w:rPr>
          <w:rFonts w:ascii="Century Gothic" w:hAnsi="Century Gothic"/>
          <w:sz w:val="24"/>
          <w:szCs w:val="24"/>
        </w:rPr>
      </w:pPr>
      <w:r w:rsidRPr="00066496">
        <w:rPr>
          <w:rFonts w:ascii="Century Gothic" w:hAnsi="Century Gothic"/>
          <w:sz w:val="24"/>
          <w:szCs w:val="24"/>
        </w:rPr>
        <w:t>Diplomado en Administración y Gestión de Proyectos Energéticos (106 Horas - FACDYC, UANL)</w:t>
      </w:r>
    </w:p>
    <w:p w:rsidR="00066496" w:rsidRPr="00066496" w:rsidRDefault="00066496" w:rsidP="00066496">
      <w:pPr>
        <w:pStyle w:val="Prrafodelista"/>
        <w:numPr>
          <w:ilvl w:val="0"/>
          <w:numId w:val="2"/>
        </w:numPr>
        <w:spacing w:after="240" w:line="0" w:lineRule="atLeast"/>
        <w:jc w:val="both"/>
        <w:rPr>
          <w:rFonts w:ascii="Century Gothic" w:eastAsia="Arial" w:hAnsi="Century Gothic"/>
          <w:bCs/>
          <w:sz w:val="24"/>
          <w:szCs w:val="24"/>
        </w:rPr>
      </w:pPr>
      <w:r w:rsidRPr="00066496">
        <w:rPr>
          <w:rFonts w:ascii="Century Gothic" w:eastAsia="Arial" w:hAnsi="Century Gothic"/>
          <w:bCs/>
          <w:sz w:val="24"/>
          <w:szCs w:val="24"/>
        </w:rPr>
        <w:lastRenderedPageBreak/>
        <w:t xml:space="preserve">Diplomado Igualdad de Género, Diversidad Sexual e Inclusión. (Universidad de Salamanca, España) </w:t>
      </w:r>
    </w:p>
    <w:p w:rsidR="00066496" w:rsidRPr="00066496" w:rsidRDefault="00066496" w:rsidP="00066496">
      <w:pPr>
        <w:pStyle w:val="Prrafodelista"/>
        <w:numPr>
          <w:ilvl w:val="0"/>
          <w:numId w:val="2"/>
        </w:numPr>
        <w:spacing w:after="240" w:line="0" w:lineRule="atLeast"/>
        <w:jc w:val="both"/>
        <w:rPr>
          <w:rFonts w:ascii="Century Gothic" w:eastAsia="Arial" w:hAnsi="Century Gothic"/>
          <w:bCs/>
          <w:sz w:val="24"/>
          <w:szCs w:val="24"/>
        </w:rPr>
      </w:pPr>
      <w:r w:rsidRPr="00066496">
        <w:rPr>
          <w:rFonts w:ascii="Century Gothic" w:eastAsia="Arial" w:hAnsi="Century Gothic"/>
          <w:bCs/>
          <w:sz w:val="24"/>
          <w:szCs w:val="24"/>
        </w:rPr>
        <w:t>Más de 25 cursos-talleres en materia de transparencia, protección de datos personales, sistema nacional de transparencia, acceso a la información, gestión documental, entre otros, con una formación total de 40 horas impartidos por el Instituto Estatal de Transparencia, Acceso a la Información y Protección de Datos.</w:t>
      </w:r>
    </w:p>
    <w:p w:rsidR="00B3045C" w:rsidRPr="00066496" w:rsidRDefault="00066496" w:rsidP="00066496">
      <w:pPr>
        <w:pStyle w:val="Prrafodelista"/>
        <w:numPr>
          <w:ilvl w:val="0"/>
          <w:numId w:val="2"/>
        </w:numPr>
        <w:spacing w:after="240" w:line="0" w:lineRule="atLeast"/>
        <w:jc w:val="both"/>
        <w:rPr>
          <w:rFonts w:ascii="Century Gothic" w:eastAsia="Arial" w:hAnsi="Century Gothic"/>
          <w:bCs/>
          <w:sz w:val="24"/>
          <w:szCs w:val="24"/>
        </w:rPr>
      </w:pPr>
      <w:r w:rsidRPr="00066496">
        <w:rPr>
          <w:rFonts w:ascii="Century Gothic" w:eastAsia="Arial" w:hAnsi="Century Gothic"/>
          <w:bCs/>
          <w:sz w:val="24"/>
          <w:szCs w:val="24"/>
        </w:rPr>
        <w:t>Diplomado “Derechos Humanos Aproximaciones para su Defensa” (80 Horas - Suprema Corte de Justicia de la Nación)</w:t>
      </w:r>
    </w:p>
    <w:p w:rsidR="00066496" w:rsidRPr="00066496" w:rsidRDefault="00066496" w:rsidP="00066496">
      <w:pPr>
        <w:pStyle w:val="Prrafodelista"/>
        <w:numPr>
          <w:ilvl w:val="0"/>
          <w:numId w:val="2"/>
        </w:numPr>
        <w:spacing w:after="240" w:line="0" w:lineRule="atLeast"/>
        <w:jc w:val="both"/>
        <w:rPr>
          <w:rFonts w:ascii="Century Gothic" w:eastAsia="Arial" w:hAnsi="Century Gothic"/>
          <w:bCs/>
          <w:sz w:val="24"/>
          <w:szCs w:val="24"/>
        </w:rPr>
      </w:pPr>
      <w:r w:rsidRPr="00066496">
        <w:rPr>
          <w:rFonts w:ascii="Century Gothic" w:eastAsia="Arial" w:hAnsi="Century Gothic"/>
          <w:bCs/>
          <w:sz w:val="24"/>
          <w:szCs w:val="24"/>
        </w:rPr>
        <w:t xml:space="preserve">Diplomado en Juicio de Amparo (80 horas </w:t>
      </w:r>
    </w:p>
    <w:p w:rsidR="00140043" w:rsidRPr="00140043" w:rsidRDefault="00140043" w:rsidP="00140043">
      <w:pPr>
        <w:pStyle w:val="Ttulo3"/>
        <w:spacing w:before="0" w:beforeAutospacing="0" w:after="0" w:afterAutospacing="0"/>
        <w:jc w:val="both"/>
        <w:rPr>
          <w:rFonts w:ascii="Century Gothic" w:hAnsi="Century Gothic"/>
          <w:sz w:val="24"/>
          <w:szCs w:val="24"/>
        </w:rPr>
      </w:pPr>
    </w:p>
    <w:p w:rsidR="00140043" w:rsidRPr="00140043" w:rsidRDefault="00140043" w:rsidP="00140043">
      <w:pPr>
        <w:pStyle w:val="Ttulo3"/>
        <w:spacing w:before="0" w:beforeAutospacing="0" w:after="0" w:afterAutospacing="0"/>
        <w:jc w:val="both"/>
        <w:rPr>
          <w:rFonts w:ascii="Century Gothic" w:hAnsi="Century Gothic" w:cs="Arial"/>
          <w:color w:val="404040" w:themeColor="text1" w:themeTint="BF"/>
          <w:sz w:val="24"/>
          <w:szCs w:val="24"/>
          <w:u w:val="single"/>
        </w:rPr>
      </w:pPr>
      <w:r w:rsidRPr="00140043">
        <w:rPr>
          <w:rFonts w:ascii="Century Gothic" w:hAnsi="Century Gothic" w:cs="Arial"/>
          <w:color w:val="404040" w:themeColor="text1" w:themeTint="BF"/>
          <w:sz w:val="24"/>
          <w:szCs w:val="24"/>
          <w:u w:val="single"/>
        </w:rPr>
        <w:t>Actividades Profesionales</w:t>
      </w:r>
    </w:p>
    <w:p w:rsidR="002155F5" w:rsidRPr="002155F5" w:rsidRDefault="002155F5" w:rsidP="002155F5">
      <w:pPr>
        <w:jc w:val="both"/>
        <w:rPr>
          <w:rFonts w:ascii="Century Gothic" w:hAnsi="Century Gothic"/>
          <w:sz w:val="24"/>
        </w:rPr>
      </w:pPr>
      <w:r w:rsidRPr="002155F5">
        <w:rPr>
          <w:rFonts w:ascii="Century Gothic" w:hAnsi="Century Gothic"/>
          <w:sz w:val="24"/>
        </w:rPr>
        <w:t>En el periodo de agosto de 2024 a mayo de 2025, se desempeñó como Asesor de Ponencia adscrito a una Consejería del Pleno en el Instituto Estatal de Transparencia, Acceso a la Información y Protección de Datos Personales. Durante esta etapa participó activamente en la elaboración de resoluciones y en el análisis jurídico especializado con enfoque tecnológico, así como en la substanciación de recursos de revisión. Asimismo, colaboró en el desarrollo e implementación del programa de derecho digital de la UANL, orientado al fortalecimiento de capacidades frente a tecnologías disruptivas, apoyando en la impartición de clases, el diseño de contenidos digitales y la estructuración de materiales académicos en materia de privacidad, inteligencia artificial y regulación algorítmica. Complementó estas funciones con la elaboración de investigaciones jurídicas, ponencias y consultas académicas, además del uso de herramientas digitales para el diseño de cursos virtuales y recursos audiovisuales aplicados a la formación en línea.</w:t>
      </w:r>
    </w:p>
    <w:p w:rsidR="002155F5" w:rsidRPr="002155F5" w:rsidRDefault="002155F5" w:rsidP="002155F5">
      <w:pPr>
        <w:jc w:val="both"/>
        <w:rPr>
          <w:rFonts w:ascii="Century Gothic" w:hAnsi="Century Gothic"/>
          <w:sz w:val="24"/>
        </w:rPr>
      </w:pPr>
      <w:r w:rsidRPr="002155F5">
        <w:rPr>
          <w:rFonts w:ascii="Century Gothic" w:hAnsi="Century Gothic"/>
          <w:sz w:val="24"/>
        </w:rPr>
        <w:t xml:space="preserve">Previamente, de 2021 a mayo de 2024, laboró como Analista de la Unidad Especializada en Transparencia, adscrito a la Unidad de Asuntos Jurídicos de la Comisión Estatal de Derechos Humanos del Estado de Nuevo León, institución en la que también fungió como responsable de dicha unidad. En este cargo tuvo a su cargo la implementación, supervisión e impulso de las políticas de protección de datos personales al interior del organismo, así como el diseño y seguimiento de políticas institucionales en materia de transparencia y protección de datos en entornos digitales. Participó como abogado colaborador en el diseño académico de la Maestría en Derechos Humanos y Nuevas Tecnologías, así como de un curso-taller en derechos humanos y seguridad pública, incorporando enfoques de nuevas tecnologías e inteligencia artificial. Además, elaboró convenios de </w:t>
      </w:r>
      <w:r w:rsidRPr="002155F5">
        <w:rPr>
          <w:rFonts w:ascii="Century Gothic" w:hAnsi="Century Gothic"/>
          <w:sz w:val="24"/>
        </w:rPr>
        <w:lastRenderedPageBreak/>
        <w:t>colaboración con instituciones educativas y organismos multilaterales, coordinó contenidos digitales para seminarios y cursos institucionales, y realizó análisis jurídicos de publicaciones del Periódico Oficial del Estado y del Diario Oficial de la Federación.</w:t>
      </w:r>
    </w:p>
    <w:p w:rsidR="003C3038" w:rsidRPr="002155F5" w:rsidRDefault="002155F5" w:rsidP="002155F5">
      <w:pPr>
        <w:jc w:val="both"/>
        <w:rPr>
          <w:rFonts w:ascii="Century Gothic" w:hAnsi="Century Gothic"/>
          <w:sz w:val="24"/>
        </w:rPr>
      </w:pPr>
      <w:r w:rsidRPr="002155F5">
        <w:rPr>
          <w:rFonts w:ascii="Century Gothic" w:hAnsi="Century Gothic"/>
          <w:sz w:val="24"/>
        </w:rPr>
        <w:t>Con anterioridad, entre 2019 y 2021, se desempeñó como Escribiente adscrito a la Tercera Sala del Tribunal de Justicia Administrativa del Estado de Nuevo León. En esta función participó en la elaboración de proyectos de sentencia, acuerdos de trámite e incidentes de liquidación, así como en todas las etapas relacionadas con el juicio de nulidad. De igual forma, realizó revisiones de control de legalidad de actos administrativos municipales y estatales, tales como permisos, licencias, autorizaciones y concesiones, contribuyendo al análisis jurídico de la actuación administrativa.</w:t>
      </w:r>
      <w:bookmarkStart w:id="0" w:name="_GoBack"/>
      <w:bookmarkEnd w:id="0"/>
    </w:p>
    <w:sectPr w:rsidR="003C3038" w:rsidRPr="002155F5" w:rsidSect="009F4DA0">
      <w:pgSz w:w="12240" w:h="15840"/>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5C82"/>
    <w:multiLevelType w:val="hybridMultilevel"/>
    <w:tmpl w:val="F70AED20"/>
    <w:lvl w:ilvl="0" w:tplc="080A0001">
      <w:start w:val="1"/>
      <w:numFmt w:val="bullet"/>
      <w:lvlText w:val=""/>
      <w:lvlJc w:val="left"/>
      <w:pPr>
        <w:ind w:left="720" w:hanging="360"/>
      </w:pPr>
      <w:rPr>
        <w:rFonts w:ascii="Symbol" w:hAnsi="Symbol" w:hint="default"/>
        <w:color w:val="808080" w:themeColor="background1" w:themeShade="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201863"/>
    <w:multiLevelType w:val="hybridMultilevel"/>
    <w:tmpl w:val="A3C44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043"/>
    <w:rsid w:val="00066496"/>
    <w:rsid w:val="00140043"/>
    <w:rsid w:val="002155F5"/>
    <w:rsid w:val="003C3038"/>
    <w:rsid w:val="004D4AFB"/>
    <w:rsid w:val="00B3045C"/>
    <w:rsid w:val="00D359F5"/>
    <w:rsid w:val="00EF22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A6005"/>
  <w15:chartTrackingRefBased/>
  <w15:docId w15:val="{FD1BF8E2-17C1-48E8-B031-09601CE51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043"/>
    <w:pPr>
      <w:spacing w:after="200" w:line="276" w:lineRule="auto"/>
    </w:pPr>
  </w:style>
  <w:style w:type="paragraph" w:styleId="Ttulo3">
    <w:name w:val="heading 3"/>
    <w:basedOn w:val="Normal"/>
    <w:link w:val="Ttulo3Car"/>
    <w:uiPriority w:val="9"/>
    <w:qFormat/>
    <w:rsid w:val="0014004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unhideWhenUsed/>
    <w:qFormat/>
    <w:rsid w:val="002155F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140043"/>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semiHidden/>
    <w:unhideWhenUsed/>
    <w:rsid w:val="00140043"/>
    <w:rPr>
      <w:color w:val="0000FF"/>
      <w:u w:val="single"/>
    </w:rPr>
  </w:style>
  <w:style w:type="paragraph" w:customStyle="1" w:styleId="sangria">
    <w:name w:val="sangria"/>
    <w:basedOn w:val="Normal"/>
    <w:rsid w:val="001400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40043"/>
    <w:rPr>
      <w:b/>
      <w:bCs/>
    </w:rPr>
  </w:style>
  <w:style w:type="character" w:styleId="nfasis">
    <w:name w:val="Emphasis"/>
    <w:basedOn w:val="Fuentedeprrafopredeter"/>
    <w:uiPriority w:val="20"/>
    <w:qFormat/>
    <w:rsid w:val="00140043"/>
    <w:rPr>
      <w:i/>
      <w:iCs/>
    </w:rPr>
  </w:style>
  <w:style w:type="paragraph" w:styleId="Prrafodelista">
    <w:name w:val="List Paragraph"/>
    <w:basedOn w:val="Normal"/>
    <w:uiPriority w:val="34"/>
    <w:qFormat/>
    <w:rsid w:val="00B3045C"/>
    <w:pPr>
      <w:spacing w:after="0" w:line="240" w:lineRule="auto"/>
      <w:ind w:left="720"/>
      <w:contextualSpacing/>
    </w:pPr>
    <w:rPr>
      <w:rFonts w:ascii="Calibri" w:eastAsia="Calibri" w:hAnsi="Calibri" w:cs="Arial"/>
      <w:sz w:val="20"/>
      <w:szCs w:val="20"/>
      <w:lang w:val="es-ES_tradnl" w:eastAsia="es-MX"/>
    </w:rPr>
  </w:style>
  <w:style w:type="paragraph" w:styleId="NormalWeb">
    <w:name w:val="Normal (Web)"/>
    <w:basedOn w:val="Normal"/>
    <w:uiPriority w:val="99"/>
    <w:semiHidden/>
    <w:unhideWhenUsed/>
    <w:rsid w:val="002155F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rsid w:val="002155F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7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808</Words>
  <Characters>4445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Trinidad Rodriguez Cepeda</dc:creator>
  <cp:keywords/>
  <dc:description/>
  <cp:lastModifiedBy>Maria Trinidad Rodriguez Cepeda</cp:lastModifiedBy>
  <cp:revision>2</cp:revision>
  <dcterms:created xsi:type="dcterms:W3CDTF">2026-01-22T21:43:00Z</dcterms:created>
  <dcterms:modified xsi:type="dcterms:W3CDTF">2026-01-22T21:43:00Z</dcterms:modified>
</cp:coreProperties>
</file>