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EF08AB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Administrativa y de Enlace Municipal</w:t>
      </w:r>
    </w:p>
    <w:p w:rsidR="002B6840" w:rsidRPr="00EF08AB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  <w:bookmarkStart w:id="0" w:name="_GoBack"/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I. Servir como la unidad administrativa de enlace y atención institucional de la Secretaría, con la Secretaría Ejecutiva, la Tesorería Municipal, la Secretaría de Administración, la Contraloría Municipal, la Dirección de Asuntos Jurídicos de la Secretaría del Ayuntamiento y el Instituto Municipal de Planeación Urbana y Convivencia; para el seguimiento de los procesos y los trámites de sus respectivas competencias;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II. Aplicar, observar y difundir al interior las políticas, normativas, lineamientos y, en general, las disposiciones emitidas por la Secretaría Ejecutiva y el Instituto Municipal de Planeación Urbana y Convivencia, en materias Comunicación Social y Planeación respectivamente;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III. Remitir a cada una de las Inspecciones de la Secretaría, las solicitudes de atención ciudadana que sean turnadas por la Secretaría de Participación Ciudadana o recibidas directamente en la Secretaría de Seguridad y Protección Ciudadana para su análisis y, en su caso, ejecución, mediante los procesos establecidos;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IV. Asegurar, al interior de la Secretaría, la observancia, cumplimiento y difusión, de las políticas, directrices, lineamientos y procedimientos establecidos por la Tesorería Municipal y la Secretaría de Administración en materias de administración de recursos humanos, materiales, financieros, adquisiciones, almacenes y demás servicios;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V. Observar, conocer, aplicar, cumplir y difundir al interior, las distintas directrices, lineamientos, normativas y demás criterios definidos por la Consejería Jurídica de la Secretaría Ejecutiva y de la Dirección de Asuntos Jurídicos de la Secretaría del Ayuntamiento, para uniformar la actuación de las dependencias y entidades paramunicipales, en los diversos asuntos jurídicos de la Administración Pública Municipal;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VI. Conocer, aplicar, atender y difundir a las distintas áreas de la Secretaría, las políticas, programas, lineamientos e instrucciones de la Contraloría Municipal en las materias de su competencia, como auditorías, transparencia y rendición de cuentas; además de atender los requerimientos de otros órganos de control o fiscalización;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VII. Verificar y tramitar que los bienes y servicios cumplan con los lineamientos administrativos establecidos en los diversos procesos de la Secretaría de Seguridad y Protección Ciudadana;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VIII. Dar seguimiento a la ejecución de los programas que le correspondan a la Secretaría en el contexto del Plan Municipal de Desarrollo y normativas legales correspondientes;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IX. Supervisar y verificar los almacenes de esta Secretaría;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X. Recabar y presentar la información para la elaboración de la proyección del gasto de la Secretaría;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XI. Atender las auditorías que formulen la Contraloría Municipal y los diferentes órganos de control o fiscalización; y</w:t>
      </w:r>
    </w:p>
    <w:p w:rsidR="00EF08AB" w:rsidRPr="00EF08AB" w:rsidRDefault="00EF08AB" w:rsidP="00EF08A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EF08AB" w:rsidRDefault="00EF08AB" w:rsidP="00EF08AB">
      <w:pPr>
        <w:ind w:left="-284"/>
        <w:jc w:val="both"/>
        <w:rPr>
          <w:sz w:val="22"/>
          <w:szCs w:val="22"/>
        </w:rPr>
      </w:pPr>
      <w:r w:rsidRPr="00EF08AB">
        <w:rPr>
          <w:rFonts w:ascii="Arial" w:hAnsi="Arial" w:cs="Arial"/>
          <w:sz w:val="22"/>
          <w:szCs w:val="22"/>
          <w:lang w:val="es-ES_tradnl"/>
        </w:rPr>
        <w:t>XII. Las que le ordene la persona titular de la Comisaría General, así como las demás que las leyes y reg</w:t>
      </w:r>
      <w:r w:rsidRPr="00EF08AB">
        <w:rPr>
          <w:rFonts w:ascii="Arial" w:hAnsi="Arial" w:cs="Arial"/>
          <w:sz w:val="22"/>
          <w:szCs w:val="22"/>
          <w:lang w:val="es-ES_tradnl"/>
        </w:rPr>
        <w:t>lamentos aplicables establezcan.</w:t>
      </w:r>
      <w:bookmarkEnd w:id="0"/>
    </w:p>
    <w:sectPr w:rsidR="002B6840" w:rsidRPr="00EF08AB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F5" w:rsidRDefault="00C42BF5">
      <w:r>
        <w:separator/>
      </w:r>
    </w:p>
  </w:endnote>
  <w:endnote w:type="continuationSeparator" w:id="0">
    <w:p w:rsidR="00C42BF5" w:rsidRDefault="00C4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F5" w:rsidRDefault="00C42BF5">
      <w:r>
        <w:separator/>
      </w:r>
    </w:p>
  </w:footnote>
  <w:footnote w:type="continuationSeparator" w:id="0">
    <w:p w:rsidR="00C42BF5" w:rsidRDefault="00C4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42BF5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EF08AB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983DF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2025-06-09T20:45:00Z</dcterms:modified>
</cp:coreProperties>
</file>