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022" w:rsidRPr="00F24022" w:rsidRDefault="00094F5F" w:rsidP="00F24022">
      <w:pPr>
        <w:pStyle w:val="Encabezado"/>
        <w:jc w:val="center"/>
        <w:rPr>
          <w:b/>
          <w:sz w:val="28"/>
          <w:szCs w:val="28"/>
        </w:rPr>
      </w:pPr>
      <w:bookmarkStart w:id="0" w:name="_GoBack"/>
      <w:bookmarkEnd w:id="0"/>
      <w:r>
        <w:rPr>
          <w:b/>
          <w:sz w:val="28"/>
          <w:szCs w:val="28"/>
        </w:rPr>
        <w:t>SECRETARI</w:t>
      </w:r>
      <w:r w:rsidR="00F24022" w:rsidRPr="00F24022">
        <w:rPr>
          <w:b/>
          <w:sz w:val="28"/>
          <w:szCs w:val="28"/>
        </w:rPr>
        <w:t>A DE ADMINISTRACIÓN</w:t>
      </w:r>
    </w:p>
    <w:p w:rsidR="00F24022" w:rsidRPr="00F24022" w:rsidRDefault="00F24022" w:rsidP="00F24022">
      <w:pPr>
        <w:pStyle w:val="Encabezado"/>
        <w:jc w:val="center"/>
        <w:rPr>
          <w:sz w:val="28"/>
          <w:szCs w:val="28"/>
        </w:rPr>
      </w:pPr>
      <w:r w:rsidRPr="00F24022">
        <w:rPr>
          <w:sz w:val="28"/>
          <w:szCs w:val="28"/>
        </w:rPr>
        <w:t>DIRECCIÓN DE ADQUISICIONES</w:t>
      </w:r>
    </w:p>
    <w:p w:rsidR="00E73926" w:rsidRPr="00E5423F" w:rsidRDefault="00E73926" w:rsidP="00E5423F"/>
    <w:tbl>
      <w:tblPr>
        <w:tblStyle w:val="Tablaconcuadrcula"/>
        <w:tblpPr w:leftFromText="141" w:rightFromText="141" w:vertAnchor="page" w:horzAnchor="margin" w:tblpY="2956"/>
        <w:tblW w:w="9498" w:type="dxa"/>
        <w:tblLook w:val="04A0" w:firstRow="1" w:lastRow="0" w:firstColumn="1" w:lastColumn="0" w:noHBand="0" w:noVBand="1"/>
      </w:tblPr>
      <w:tblGrid>
        <w:gridCol w:w="4820"/>
        <w:gridCol w:w="4678"/>
      </w:tblGrid>
      <w:tr w:rsidR="00E73926" w:rsidRPr="00D74976" w:rsidTr="00E73926">
        <w:tc>
          <w:tcPr>
            <w:tcW w:w="4820" w:type="dxa"/>
            <w:shd w:val="clear" w:color="auto" w:fill="000000" w:themeFill="text1"/>
            <w:vAlign w:val="center"/>
          </w:tcPr>
          <w:p w:rsidR="00E73926" w:rsidRPr="00E73926" w:rsidRDefault="00094F5F" w:rsidP="00E73926">
            <w:pPr>
              <w:pStyle w:val="Prrafodelista"/>
              <w:spacing w:after="0" w:line="240" w:lineRule="auto"/>
              <w:ind w:left="426"/>
              <w:contextualSpacing w:val="0"/>
              <w:jc w:val="center"/>
              <w:rPr>
                <w:rFonts w:ascii="Calibri Light" w:hAnsi="Calibri Light" w:cs="Calibri Light"/>
                <w:color w:val="FFFFFF" w:themeColor="background1"/>
                <w:sz w:val="24"/>
                <w:szCs w:val="24"/>
                <w:lang w:val="es-MX"/>
              </w:rPr>
            </w:pPr>
            <w:r>
              <w:rPr>
                <w:rFonts w:ascii="Calibri Light" w:hAnsi="Calibri Light" w:cs="Calibri Light"/>
                <w:color w:val="FFFFFF" w:themeColor="background1"/>
                <w:sz w:val="24"/>
                <w:szCs w:val="24"/>
                <w:lang w:val="es-MX"/>
              </w:rPr>
              <w:t>TIPO DE CONTRATACIÓ</w:t>
            </w:r>
            <w:r w:rsidR="00E73926" w:rsidRPr="00E73926">
              <w:rPr>
                <w:rFonts w:ascii="Calibri Light" w:hAnsi="Calibri Light" w:cs="Calibri Light"/>
                <w:color w:val="FFFFFF" w:themeColor="background1"/>
                <w:sz w:val="24"/>
                <w:szCs w:val="24"/>
                <w:lang w:val="es-MX"/>
              </w:rPr>
              <w:t>N</w:t>
            </w:r>
          </w:p>
        </w:tc>
        <w:tc>
          <w:tcPr>
            <w:tcW w:w="4678" w:type="dxa"/>
            <w:shd w:val="clear" w:color="auto" w:fill="000000" w:themeFill="text1"/>
            <w:vAlign w:val="center"/>
          </w:tcPr>
          <w:p w:rsidR="00E73926" w:rsidRPr="00E73926" w:rsidRDefault="00E73926" w:rsidP="00E73926">
            <w:pPr>
              <w:pStyle w:val="Prrafodelista"/>
              <w:spacing w:after="0" w:line="240" w:lineRule="auto"/>
              <w:ind w:left="426"/>
              <w:contextualSpacing w:val="0"/>
              <w:jc w:val="center"/>
              <w:rPr>
                <w:rFonts w:ascii="Calibri Light" w:hAnsi="Calibri Light" w:cs="Calibri Light"/>
                <w:color w:val="FFFFFF" w:themeColor="background1"/>
                <w:sz w:val="24"/>
                <w:szCs w:val="24"/>
                <w:lang w:val="es-MX"/>
              </w:rPr>
            </w:pPr>
            <w:r w:rsidRPr="00E73926">
              <w:rPr>
                <w:rFonts w:ascii="Calibri Light" w:hAnsi="Calibri Light" w:cs="Calibri Light"/>
                <w:color w:val="FFFFFF" w:themeColor="background1"/>
                <w:sz w:val="24"/>
                <w:szCs w:val="24"/>
                <w:lang w:val="es-MX"/>
              </w:rPr>
              <w:t>MONTOS</w:t>
            </w:r>
          </w:p>
        </w:tc>
      </w:tr>
      <w:tr w:rsidR="00E73926" w:rsidTr="00E73926">
        <w:tc>
          <w:tcPr>
            <w:tcW w:w="4820" w:type="dxa"/>
            <w:vAlign w:val="center"/>
          </w:tcPr>
          <w:p w:rsidR="00E73926" w:rsidRPr="00E73926" w:rsidRDefault="00E73926" w:rsidP="00E73926">
            <w:pPr>
              <w:pStyle w:val="Prrafodelista"/>
              <w:spacing w:after="0" w:line="240" w:lineRule="auto"/>
              <w:ind w:left="426"/>
              <w:contextualSpacing w:val="0"/>
              <w:jc w:val="center"/>
              <w:rPr>
                <w:rFonts w:ascii="Calibri Light" w:hAnsi="Calibri Light" w:cs="Calibri Light"/>
                <w:color w:val="2D3927"/>
                <w:sz w:val="24"/>
                <w:szCs w:val="24"/>
                <w:lang w:val="es-MX"/>
              </w:rPr>
            </w:pPr>
          </w:p>
        </w:tc>
        <w:tc>
          <w:tcPr>
            <w:tcW w:w="4678" w:type="dxa"/>
            <w:vAlign w:val="center"/>
          </w:tcPr>
          <w:p w:rsidR="00E73926" w:rsidRPr="00E73926" w:rsidRDefault="00E73926" w:rsidP="00E73926">
            <w:pPr>
              <w:pStyle w:val="Prrafodelista"/>
              <w:spacing w:after="0" w:line="240" w:lineRule="auto"/>
              <w:ind w:left="426"/>
              <w:contextualSpacing w:val="0"/>
              <w:jc w:val="center"/>
              <w:rPr>
                <w:rFonts w:ascii="Calibri Light" w:hAnsi="Calibri Light" w:cs="Calibri Light"/>
                <w:color w:val="2D3927"/>
                <w:sz w:val="24"/>
                <w:szCs w:val="24"/>
                <w:lang w:val="es-MX"/>
              </w:rPr>
            </w:pPr>
          </w:p>
        </w:tc>
      </w:tr>
      <w:tr w:rsidR="00E73926" w:rsidRPr="00840A30" w:rsidTr="00E73926">
        <w:tc>
          <w:tcPr>
            <w:tcW w:w="4820" w:type="dxa"/>
            <w:vAlign w:val="center"/>
          </w:tcPr>
          <w:p w:rsidR="00E73926" w:rsidRPr="00E73926" w:rsidRDefault="00094F5F" w:rsidP="00E73926">
            <w:pPr>
              <w:pStyle w:val="Prrafodelista"/>
              <w:spacing w:after="0" w:line="240" w:lineRule="auto"/>
              <w:ind w:left="426"/>
              <w:contextualSpacing w:val="0"/>
              <w:jc w:val="center"/>
              <w:rPr>
                <w:rFonts w:ascii="Calibri Light" w:hAnsi="Calibri Light" w:cs="Calibri Light"/>
                <w:b/>
                <w:color w:val="2D3927"/>
                <w:sz w:val="24"/>
                <w:szCs w:val="24"/>
                <w:lang w:val="es-MX"/>
              </w:rPr>
            </w:pPr>
            <w:r>
              <w:rPr>
                <w:rFonts w:ascii="Calibri Light" w:hAnsi="Calibri Light" w:cs="Calibri Light"/>
                <w:b/>
                <w:color w:val="2D3927"/>
                <w:sz w:val="24"/>
                <w:szCs w:val="24"/>
                <w:lang w:val="es-MX"/>
              </w:rPr>
              <w:t>CONTRATACIÓ</w:t>
            </w:r>
            <w:r w:rsidR="00E73926" w:rsidRPr="00E73926">
              <w:rPr>
                <w:rFonts w:ascii="Calibri Light" w:hAnsi="Calibri Light" w:cs="Calibri Light"/>
                <w:b/>
                <w:color w:val="2D3927"/>
                <w:sz w:val="24"/>
                <w:szCs w:val="24"/>
                <w:lang w:val="es-MX"/>
              </w:rPr>
              <w:t>N DIRECTA</w:t>
            </w:r>
          </w:p>
          <w:p w:rsidR="00E73926" w:rsidRPr="00E73926" w:rsidRDefault="00E73926" w:rsidP="00E73926">
            <w:pPr>
              <w:pStyle w:val="Prrafodelista"/>
              <w:spacing w:after="0" w:line="240" w:lineRule="auto"/>
              <w:ind w:left="426"/>
              <w:contextualSpacing w:val="0"/>
              <w:jc w:val="center"/>
              <w:rPr>
                <w:rFonts w:ascii="Calibri Light" w:hAnsi="Calibri Light" w:cs="Calibri Light"/>
                <w:b/>
                <w:color w:val="2D3927"/>
                <w:sz w:val="24"/>
                <w:szCs w:val="24"/>
                <w:lang w:val="es-MX"/>
              </w:rPr>
            </w:pPr>
          </w:p>
        </w:tc>
        <w:tc>
          <w:tcPr>
            <w:tcW w:w="4678" w:type="dxa"/>
            <w:vAlign w:val="center"/>
          </w:tcPr>
          <w:p w:rsidR="00E73926" w:rsidRPr="00E73926" w:rsidRDefault="00E73926" w:rsidP="00E73926">
            <w:pPr>
              <w:pStyle w:val="Prrafodelista"/>
              <w:spacing w:after="0" w:line="240" w:lineRule="auto"/>
              <w:ind w:left="426"/>
              <w:contextualSpacing w:val="0"/>
              <w:jc w:val="center"/>
              <w:rPr>
                <w:rFonts w:ascii="Calibri Light" w:hAnsi="Calibri Light" w:cs="Calibri Light"/>
                <w:color w:val="2D3927"/>
                <w:sz w:val="24"/>
                <w:szCs w:val="24"/>
                <w:lang w:val="es-MX"/>
              </w:rPr>
            </w:pPr>
            <w:r w:rsidRPr="00E73926">
              <w:rPr>
                <w:rFonts w:ascii="Calibri Light" w:hAnsi="Calibri Light" w:cs="Calibri Light"/>
                <w:color w:val="2D3927"/>
                <w:sz w:val="24"/>
                <w:szCs w:val="24"/>
                <w:lang w:val="es-MX"/>
              </w:rPr>
              <w:t>DE $1.00 HASTA</w:t>
            </w:r>
          </w:p>
          <w:p w:rsidR="00E73926" w:rsidRPr="00E73926" w:rsidRDefault="00AC21E3" w:rsidP="00AC21E3">
            <w:pPr>
              <w:pStyle w:val="Prrafodelista"/>
              <w:spacing w:after="0" w:line="240" w:lineRule="auto"/>
              <w:ind w:left="426"/>
              <w:contextualSpacing w:val="0"/>
              <w:jc w:val="center"/>
              <w:rPr>
                <w:rFonts w:ascii="Calibri Light" w:hAnsi="Calibri Light" w:cs="Calibri Light"/>
                <w:b/>
                <w:color w:val="2D3927"/>
                <w:sz w:val="24"/>
                <w:szCs w:val="24"/>
                <w:lang w:val="es-MX"/>
              </w:rPr>
            </w:pPr>
            <w:r>
              <w:rPr>
                <w:rFonts w:ascii="Calibri Light" w:hAnsi="Calibri Light" w:cs="Calibri Light"/>
                <w:b/>
                <w:color w:val="2D3927"/>
                <w:sz w:val="24"/>
                <w:szCs w:val="24"/>
                <w:lang w:val="es-MX"/>
              </w:rPr>
              <w:t>$193</w:t>
            </w:r>
            <w:r w:rsidR="00E73926" w:rsidRPr="00E73926">
              <w:rPr>
                <w:rFonts w:ascii="Calibri Light" w:hAnsi="Calibri Light" w:cs="Calibri Light"/>
                <w:b/>
                <w:color w:val="2D3927"/>
                <w:sz w:val="24"/>
                <w:szCs w:val="24"/>
                <w:lang w:val="es-MX"/>
              </w:rPr>
              <w:t>,</w:t>
            </w:r>
            <w:r>
              <w:rPr>
                <w:rFonts w:ascii="Calibri Light" w:hAnsi="Calibri Light" w:cs="Calibri Light"/>
                <w:b/>
                <w:color w:val="2D3927"/>
                <w:sz w:val="24"/>
                <w:szCs w:val="24"/>
                <w:lang w:val="es-MX"/>
              </w:rPr>
              <w:t>440</w:t>
            </w:r>
            <w:r w:rsidR="00E73926" w:rsidRPr="00E73926">
              <w:rPr>
                <w:rFonts w:ascii="Calibri Light" w:hAnsi="Calibri Light" w:cs="Calibri Light"/>
                <w:b/>
                <w:color w:val="2D3927"/>
                <w:sz w:val="24"/>
                <w:szCs w:val="24"/>
                <w:lang w:val="es-MX"/>
              </w:rPr>
              <w:t>.00</w:t>
            </w:r>
          </w:p>
        </w:tc>
      </w:tr>
      <w:tr w:rsidR="00E73926" w:rsidTr="00E73926">
        <w:tc>
          <w:tcPr>
            <w:tcW w:w="4820" w:type="dxa"/>
            <w:vAlign w:val="center"/>
          </w:tcPr>
          <w:p w:rsidR="00E73926" w:rsidRPr="00E73926" w:rsidRDefault="00E73926" w:rsidP="00E73926">
            <w:pPr>
              <w:pStyle w:val="Prrafodelista"/>
              <w:spacing w:after="0" w:line="240" w:lineRule="auto"/>
              <w:ind w:left="426"/>
              <w:contextualSpacing w:val="0"/>
              <w:rPr>
                <w:rFonts w:ascii="Calibri Light" w:hAnsi="Calibri Light" w:cs="Calibri Light"/>
                <w:color w:val="2D3927"/>
                <w:sz w:val="24"/>
                <w:szCs w:val="24"/>
                <w:lang w:val="es-MX"/>
              </w:rPr>
            </w:pPr>
          </w:p>
        </w:tc>
        <w:tc>
          <w:tcPr>
            <w:tcW w:w="4678" w:type="dxa"/>
            <w:vAlign w:val="center"/>
          </w:tcPr>
          <w:p w:rsidR="00E73926" w:rsidRPr="00E73926" w:rsidRDefault="00E73926" w:rsidP="00E73926">
            <w:pPr>
              <w:pStyle w:val="Prrafodelista"/>
              <w:spacing w:after="0" w:line="240" w:lineRule="auto"/>
              <w:ind w:left="426"/>
              <w:contextualSpacing w:val="0"/>
              <w:jc w:val="center"/>
              <w:rPr>
                <w:rFonts w:ascii="Calibri Light" w:hAnsi="Calibri Light" w:cs="Calibri Light"/>
                <w:color w:val="2D3927"/>
                <w:sz w:val="24"/>
                <w:szCs w:val="24"/>
                <w:lang w:val="es-MX"/>
              </w:rPr>
            </w:pPr>
          </w:p>
        </w:tc>
      </w:tr>
      <w:tr w:rsidR="00E73926" w:rsidRPr="00840A30" w:rsidTr="00E73926">
        <w:tc>
          <w:tcPr>
            <w:tcW w:w="4820" w:type="dxa"/>
            <w:vAlign w:val="center"/>
          </w:tcPr>
          <w:p w:rsidR="00E73926" w:rsidRPr="00E73926" w:rsidRDefault="00094F5F" w:rsidP="00E73926">
            <w:pPr>
              <w:pStyle w:val="Prrafodelista"/>
              <w:spacing w:after="0" w:line="240" w:lineRule="auto"/>
              <w:ind w:left="426"/>
              <w:contextualSpacing w:val="0"/>
              <w:jc w:val="center"/>
              <w:rPr>
                <w:rFonts w:ascii="Calibri Light" w:hAnsi="Calibri Light" w:cs="Calibri Light"/>
                <w:b/>
                <w:color w:val="2D3927"/>
                <w:sz w:val="24"/>
                <w:szCs w:val="24"/>
                <w:lang w:val="es-MX"/>
              </w:rPr>
            </w:pPr>
            <w:r>
              <w:rPr>
                <w:rFonts w:ascii="Calibri Light" w:hAnsi="Calibri Light" w:cs="Calibri Light"/>
                <w:b/>
                <w:color w:val="2D3927"/>
                <w:sz w:val="24"/>
                <w:szCs w:val="24"/>
                <w:lang w:val="es-MX"/>
              </w:rPr>
              <w:t>CONTRATACIÓ</w:t>
            </w:r>
            <w:r w:rsidR="00E73926" w:rsidRPr="00E73926">
              <w:rPr>
                <w:rFonts w:ascii="Calibri Light" w:hAnsi="Calibri Light" w:cs="Calibri Light"/>
                <w:b/>
                <w:color w:val="2D3927"/>
                <w:sz w:val="24"/>
                <w:szCs w:val="24"/>
                <w:lang w:val="es-MX"/>
              </w:rPr>
              <w:t>N DIRECTA</w:t>
            </w:r>
          </w:p>
          <w:p w:rsidR="00E73926" w:rsidRPr="00E73926" w:rsidRDefault="00E73926" w:rsidP="00E73926">
            <w:pPr>
              <w:pStyle w:val="Prrafodelista"/>
              <w:spacing w:after="0" w:line="240" w:lineRule="auto"/>
              <w:ind w:left="426"/>
              <w:contextualSpacing w:val="0"/>
              <w:jc w:val="center"/>
              <w:rPr>
                <w:rFonts w:ascii="Calibri Light" w:hAnsi="Calibri Light" w:cs="Calibri Light"/>
                <w:b/>
                <w:color w:val="2D3927"/>
                <w:sz w:val="24"/>
                <w:szCs w:val="24"/>
                <w:lang w:val="es-MX"/>
              </w:rPr>
            </w:pPr>
            <w:r w:rsidRPr="00E73926">
              <w:rPr>
                <w:rFonts w:ascii="Calibri Light" w:hAnsi="Calibri Light" w:cs="Calibri Light"/>
                <w:b/>
                <w:color w:val="2D3927"/>
                <w:sz w:val="24"/>
                <w:szCs w:val="24"/>
                <w:lang w:val="es-MX"/>
              </w:rPr>
              <w:t>(TRES PROVEEDORES)</w:t>
            </w:r>
          </w:p>
        </w:tc>
        <w:tc>
          <w:tcPr>
            <w:tcW w:w="4678" w:type="dxa"/>
            <w:vAlign w:val="center"/>
          </w:tcPr>
          <w:p w:rsidR="00E73926" w:rsidRPr="00E73926" w:rsidRDefault="00E73926" w:rsidP="00E73926">
            <w:pPr>
              <w:pStyle w:val="Prrafodelista"/>
              <w:spacing w:after="0" w:line="240" w:lineRule="auto"/>
              <w:ind w:left="426"/>
              <w:contextualSpacing w:val="0"/>
              <w:jc w:val="center"/>
              <w:rPr>
                <w:rFonts w:ascii="Calibri Light" w:hAnsi="Calibri Light" w:cs="Calibri Light"/>
                <w:color w:val="2D3927"/>
                <w:sz w:val="24"/>
                <w:szCs w:val="24"/>
                <w:lang w:val="es-MX"/>
              </w:rPr>
            </w:pPr>
            <w:r w:rsidRPr="00E73926">
              <w:rPr>
                <w:rFonts w:ascii="Calibri Light" w:hAnsi="Calibri Light" w:cs="Calibri Light"/>
                <w:color w:val="2D3927"/>
                <w:sz w:val="24"/>
                <w:szCs w:val="24"/>
                <w:lang w:val="es-MX"/>
              </w:rPr>
              <w:t xml:space="preserve">DE </w:t>
            </w:r>
            <w:r w:rsidR="00AC21E3" w:rsidRPr="00AC21E3">
              <w:rPr>
                <w:rFonts w:ascii="Calibri Light" w:hAnsi="Calibri Light" w:cs="Calibri Light"/>
                <w:color w:val="2D3927"/>
                <w:sz w:val="24"/>
                <w:szCs w:val="24"/>
                <w:lang w:val="es-MX"/>
              </w:rPr>
              <w:t>$193,440.01</w:t>
            </w:r>
            <w:r w:rsidRPr="00AC21E3">
              <w:rPr>
                <w:rFonts w:ascii="Calibri Light" w:hAnsi="Calibri Light" w:cs="Calibri Light"/>
                <w:color w:val="2D3927"/>
                <w:sz w:val="24"/>
                <w:szCs w:val="24"/>
                <w:lang w:val="es-MX"/>
              </w:rPr>
              <w:t>HASTA</w:t>
            </w:r>
          </w:p>
          <w:p w:rsidR="00E73926" w:rsidRPr="00E73926" w:rsidRDefault="00E73926" w:rsidP="00AC21E3">
            <w:pPr>
              <w:pStyle w:val="Prrafodelista"/>
              <w:spacing w:after="0" w:line="240" w:lineRule="auto"/>
              <w:ind w:left="426"/>
              <w:contextualSpacing w:val="0"/>
              <w:jc w:val="center"/>
              <w:rPr>
                <w:rFonts w:ascii="Calibri Light" w:hAnsi="Calibri Light" w:cs="Calibri Light"/>
                <w:b/>
                <w:color w:val="2D3927"/>
                <w:sz w:val="24"/>
                <w:szCs w:val="24"/>
                <w:lang w:val="es-MX"/>
              </w:rPr>
            </w:pPr>
            <w:r w:rsidRPr="00E73926">
              <w:rPr>
                <w:rFonts w:ascii="Calibri Light" w:hAnsi="Calibri Light" w:cs="Calibri Light"/>
                <w:b/>
                <w:color w:val="2D3927"/>
                <w:sz w:val="24"/>
                <w:szCs w:val="24"/>
                <w:lang w:val="es-MX"/>
              </w:rPr>
              <w:t>$1,</w:t>
            </w:r>
            <w:r w:rsidR="00AC21E3">
              <w:rPr>
                <w:rFonts w:ascii="Calibri Light" w:hAnsi="Calibri Light" w:cs="Calibri Light"/>
                <w:b/>
                <w:color w:val="2D3927"/>
                <w:sz w:val="24"/>
                <w:szCs w:val="24"/>
                <w:lang w:val="es-MX"/>
              </w:rPr>
              <w:t>128,400.00</w:t>
            </w:r>
          </w:p>
        </w:tc>
      </w:tr>
      <w:tr w:rsidR="00E73926" w:rsidTr="00E73926">
        <w:tc>
          <w:tcPr>
            <w:tcW w:w="4820" w:type="dxa"/>
            <w:vAlign w:val="center"/>
          </w:tcPr>
          <w:p w:rsidR="00E73926" w:rsidRPr="00E73926" w:rsidRDefault="00E73926" w:rsidP="00E73926">
            <w:pPr>
              <w:pStyle w:val="Prrafodelista"/>
              <w:spacing w:after="0" w:line="240" w:lineRule="auto"/>
              <w:ind w:left="426"/>
              <w:contextualSpacing w:val="0"/>
              <w:jc w:val="center"/>
              <w:rPr>
                <w:rFonts w:ascii="Calibri Light" w:hAnsi="Calibri Light" w:cs="Calibri Light"/>
                <w:color w:val="2D3927"/>
                <w:sz w:val="24"/>
                <w:szCs w:val="24"/>
                <w:lang w:val="es-MX"/>
              </w:rPr>
            </w:pPr>
          </w:p>
        </w:tc>
        <w:tc>
          <w:tcPr>
            <w:tcW w:w="4678" w:type="dxa"/>
            <w:vAlign w:val="center"/>
          </w:tcPr>
          <w:p w:rsidR="00E73926" w:rsidRPr="00E73926" w:rsidRDefault="00E73926" w:rsidP="00E73926">
            <w:pPr>
              <w:pStyle w:val="Prrafodelista"/>
              <w:spacing w:after="0" w:line="240" w:lineRule="auto"/>
              <w:ind w:left="426"/>
              <w:contextualSpacing w:val="0"/>
              <w:jc w:val="center"/>
              <w:rPr>
                <w:rFonts w:ascii="Calibri Light" w:hAnsi="Calibri Light" w:cs="Calibri Light"/>
                <w:color w:val="2D3927"/>
                <w:sz w:val="24"/>
                <w:szCs w:val="24"/>
                <w:lang w:val="es-MX"/>
              </w:rPr>
            </w:pPr>
          </w:p>
        </w:tc>
      </w:tr>
      <w:tr w:rsidR="00E73926" w:rsidRPr="00840A30" w:rsidTr="00E73926">
        <w:tc>
          <w:tcPr>
            <w:tcW w:w="4820" w:type="dxa"/>
            <w:vAlign w:val="center"/>
          </w:tcPr>
          <w:p w:rsidR="00E73926" w:rsidRPr="00E73926" w:rsidRDefault="00094F5F" w:rsidP="00E73926">
            <w:pPr>
              <w:pStyle w:val="Prrafodelista"/>
              <w:spacing w:after="0" w:line="240" w:lineRule="auto"/>
              <w:ind w:left="426"/>
              <w:contextualSpacing w:val="0"/>
              <w:jc w:val="center"/>
              <w:rPr>
                <w:rFonts w:ascii="Calibri Light" w:hAnsi="Calibri Light" w:cs="Calibri Light"/>
                <w:b/>
                <w:color w:val="2D3927"/>
                <w:sz w:val="24"/>
                <w:szCs w:val="24"/>
                <w:lang w:val="es-MX"/>
              </w:rPr>
            </w:pPr>
            <w:r>
              <w:rPr>
                <w:rFonts w:ascii="Calibri Light" w:hAnsi="Calibri Light" w:cs="Calibri Light"/>
                <w:b/>
                <w:color w:val="2D3927"/>
                <w:sz w:val="24"/>
                <w:szCs w:val="24"/>
                <w:lang w:val="es-MX"/>
              </w:rPr>
              <w:t>INVITACIÓ</w:t>
            </w:r>
            <w:r w:rsidR="00E73926" w:rsidRPr="00E73926">
              <w:rPr>
                <w:rFonts w:ascii="Calibri Light" w:hAnsi="Calibri Light" w:cs="Calibri Light"/>
                <w:b/>
                <w:color w:val="2D3927"/>
                <w:sz w:val="24"/>
                <w:szCs w:val="24"/>
                <w:lang w:val="es-MX"/>
              </w:rPr>
              <w:t>N RESTRINGIDA</w:t>
            </w:r>
          </w:p>
          <w:p w:rsidR="00E73926" w:rsidRPr="00E73926" w:rsidRDefault="00E73926" w:rsidP="00E73926">
            <w:pPr>
              <w:pStyle w:val="Prrafodelista"/>
              <w:spacing w:after="0" w:line="240" w:lineRule="auto"/>
              <w:ind w:left="426"/>
              <w:contextualSpacing w:val="0"/>
              <w:jc w:val="center"/>
              <w:rPr>
                <w:rFonts w:ascii="Calibri Light" w:hAnsi="Calibri Light" w:cs="Calibri Light"/>
                <w:color w:val="2D3927"/>
                <w:sz w:val="24"/>
                <w:szCs w:val="24"/>
                <w:lang w:val="es-MX"/>
              </w:rPr>
            </w:pPr>
          </w:p>
        </w:tc>
        <w:tc>
          <w:tcPr>
            <w:tcW w:w="4678" w:type="dxa"/>
            <w:vAlign w:val="center"/>
          </w:tcPr>
          <w:p w:rsidR="00E73926" w:rsidRPr="00E73926" w:rsidRDefault="00E73926" w:rsidP="00E73926">
            <w:pPr>
              <w:pStyle w:val="Prrafodelista"/>
              <w:spacing w:after="0" w:line="240" w:lineRule="auto"/>
              <w:ind w:left="426"/>
              <w:contextualSpacing w:val="0"/>
              <w:jc w:val="center"/>
              <w:rPr>
                <w:rFonts w:ascii="Calibri Light" w:hAnsi="Calibri Light" w:cs="Calibri Light"/>
                <w:color w:val="2D3927"/>
                <w:sz w:val="24"/>
                <w:szCs w:val="24"/>
                <w:lang w:val="es-MX"/>
              </w:rPr>
            </w:pPr>
            <w:r w:rsidRPr="00E73926">
              <w:rPr>
                <w:rFonts w:ascii="Calibri Light" w:hAnsi="Calibri Light" w:cs="Calibri Light"/>
                <w:color w:val="2D3927"/>
                <w:sz w:val="24"/>
                <w:szCs w:val="24"/>
                <w:lang w:val="es-MX"/>
              </w:rPr>
              <w:t xml:space="preserve">DE </w:t>
            </w:r>
            <w:r w:rsidR="00AC21E3" w:rsidRPr="00AC21E3">
              <w:rPr>
                <w:rFonts w:ascii="Calibri Light" w:hAnsi="Calibri Light" w:cs="Calibri Light"/>
                <w:color w:val="2D3927"/>
                <w:sz w:val="24"/>
                <w:szCs w:val="24"/>
                <w:lang w:val="es-MX"/>
              </w:rPr>
              <w:t>$1,128,400.01</w:t>
            </w:r>
            <w:r w:rsidR="00AC21E3">
              <w:rPr>
                <w:rFonts w:ascii="Calibri Light" w:hAnsi="Calibri Light" w:cs="Calibri Light"/>
                <w:color w:val="2D3927"/>
                <w:sz w:val="24"/>
                <w:szCs w:val="24"/>
                <w:lang w:val="es-MX"/>
              </w:rPr>
              <w:t xml:space="preserve"> </w:t>
            </w:r>
            <w:r w:rsidRPr="00AC21E3">
              <w:rPr>
                <w:rFonts w:ascii="Calibri Light" w:hAnsi="Calibri Light" w:cs="Calibri Light"/>
                <w:color w:val="2D3927"/>
                <w:sz w:val="24"/>
                <w:szCs w:val="24"/>
                <w:lang w:val="es-MX"/>
              </w:rPr>
              <w:t>HASTA</w:t>
            </w:r>
          </w:p>
          <w:p w:rsidR="00E73926" w:rsidRPr="00E73926" w:rsidRDefault="00E73926" w:rsidP="00AC21E3">
            <w:pPr>
              <w:pStyle w:val="Prrafodelista"/>
              <w:spacing w:after="0" w:line="240" w:lineRule="auto"/>
              <w:ind w:left="426"/>
              <w:contextualSpacing w:val="0"/>
              <w:jc w:val="center"/>
              <w:rPr>
                <w:rFonts w:ascii="Calibri Light" w:hAnsi="Calibri Light" w:cs="Calibri Light"/>
                <w:b/>
                <w:color w:val="2D3927"/>
                <w:sz w:val="24"/>
                <w:szCs w:val="24"/>
                <w:lang w:val="es-MX"/>
              </w:rPr>
            </w:pPr>
            <w:r w:rsidRPr="00E73926">
              <w:rPr>
                <w:rFonts w:ascii="Calibri Light" w:hAnsi="Calibri Light" w:cs="Calibri Light"/>
                <w:b/>
                <w:color w:val="2D3927"/>
                <w:sz w:val="24"/>
                <w:szCs w:val="24"/>
                <w:lang w:val="es-MX"/>
              </w:rPr>
              <w:t>$1,</w:t>
            </w:r>
            <w:r w:rsidR="00AC21E3">
              <w:rPr>
                <w:rFonts w:ascii="Calibri Light" w:hAnsi="Calibri Light" w:cs="Calibri Light"/>
                <w:b/>
                <w:color w:val="2D3927"/>
                <w:sz w:val="24"/>
                <w:szCs w:val="24"/>
                <w:lang w:val="es-MX"/>
              </w:rPr>
              <w:t>934,400</w:t>
            </w:r>
            <w:r w:rsidRPr="00E73926">
              <w:rPr>
                <w:rFonts w:ascii="Calibri Light" w:hAnsi="Calibri Light" w:cs="Calibri Light"/>
                <w:b/>
                <w:color w:val="2D3927"/>
                <w:sz w:val="24"/>
                <w:szCs w:val="24"/>
                <w:lang w:val="es-MX"/>
              </w:rPr>
              <w:t>.00</w:t>
            </w:r>
          </w:p>
        </w:tc>
      </w:tr>
      <w:tr w:rsidR="00E73926" w:rsidTr="00E73926">
        <w:tc>
          <w:tcPr>
            <w:tcW w:w="4820" w:type="dxa"/>
            <w:vAlign w:val="center"/>
          </w:tcPr>
          <w:p w:rsidR="00E73926" w:rsidRPr="00E73926" w:rsidRDefault="00E73926" w:rsidP="00E73926">
            <w:pPr>
              <w:pStyle w:val="Prrafodelista"/>
              <w:spacing w:after="0" w:line="240" w:lineRule="auto"/>
              <w:ind w:left="426"/>
              <w:contextualSpacing w:val="0"/>
              <w:jc w:val="center"/>
              <w:rPr>
                <w:rFonts w:ascii="Calibri Light" w:hAnsi="Calibri Light" w:cs="Calibri Light"/>
                <w:color w:val="2D3927"/>
                <w:sz w:val="24"/>
                <w:szCs w:val="24"/>
                <w:lang w:val="es-MX"/>
              </w:rPr>
            </w:pPr>
          </w:p>
        </w:tc>
        <w:tc>
          <w:tcPr>
            <w:tcW w:w="4678" w:type="dxa"/>
            <w:vAlign w:val="center"/>
          </w:tcPr>
          <w:p w:rsidR="00E73926" w:rsidRPr="00E73926" w:rsidRDefault="00E73926" w:rsidP="00E73926">
            <w:pPr>
              <w:pStyle w:val="Prrafodelista"/>
              <w:spacing w:after="0" w:line="240" w:lineRule="auto"/>
              <w:ind w:left="426"/>
              <w:contextualSpacing w:val="0"/>
              <w:jc w:val="center"/>
              <w:rPr>
                <w:rFonts w:ascii="Calibri Light" w:hAnsi="Calibri Light" w:cs="Calibri Light"/>
                <w:color w:val="2D3927"/>
                <w:sz w:val="24"/>
                <w:szCs w:val="24"/>
                <w:lang w:val="es-MX"/>
              </w:rPr>
            </w:pPr>
          </w:p>
        </w:tc>
      </w:tr>
      <w:tr w:rsidR="00E73926" w:rsidTr="00E73926">
        <w:tc>
          <w:tcPr>
            <w:tcW w:w="4820" w:type="dxa"/>
            <w:vAlign w:val="center"/>
          </w:tcPr>
          <w:p w:rsidR="00E73926" w:rsidRPr="00E73926" w:rsidRDefault="00094F5F" w:rsidP="00E73926">
            <w:pPr>
              <w:pStyle w:val="Prrafodelista"/>
              <w:spacing w:after="0" w:line="240" w:lineRule="auto"/>
              <w:ind w:left="426"/>
              <w:contextualSpacing w:val="0"/>
              <w:jc w:val="center"/>
              <w:rPr>
                <w:rFonts w:ascii="Calibri Light" w:hAnsi="Calibri Light" w:cs="Calibri Light"/>
                <w:b/>
                <w:color w:val="2D3927"/>
                <w:sz w:val="24"/>
                <w:szCs w:val="24"/>
                <w:lang w:val="es-MX"/>
              </w:rPr>
            </w:pPr>
            <w:r>
              <w:rPr>
                <w:rFonts w:ascii="Calibri Light" w:hAnsi="Calibri Light" w:cs="Calibri Light"/>
                <w:b/>
                <w:color w:val="2D3927"/>
                <w:sz w:val="24"/>
                <w:szCs w:val="24"/>
                <w:lang w:val="es-MX"/>
              </w:rPr>
              <w:t>LICITACIÓN PÚ</w:t>
            </w:r>
            <w:r w:rsidR="00E73926" w:rsidRPr="00E73926">
              <w:rPr>
                <w:rFonts w:ascii="Calibri Light" w:hAnsi="Calibri Light" w:cs="Calibri Light"/>
                <w:b/>
                <w:color w:val="2D3927"/>
                <w:sz w:val="24"/>
                <w:szCs w:val="24"/>
                <w:lang w:val="es-MX"/>
              </w:rPr>
              <w:t>BLICA</w:t>
            </w:r>
          </w:p>
          <w:p w:rsidR="00E73926" w:rsidRPr="00E73926" w:rsidRDefault="00E73926" w:rsidP="00E73926">
            <w:pPr>
              <w:pStyle w:val="Prrafodelista"/>
              <w:spacing w:after="0" w:line="240" w:lineRule="auto"/>
              <w:ind w:left="426"/>
              <w:contextualSpacing w:val="0"/>
              <w:jc w:val="center"/>
              <w:rPr>
                <w:rFonts w:ascii="Calibri Light" w:hAnsi="Calibri Light" w:cs="Calibri Light"/>
                <w:color w:val="2D3927"/>
                <w:sz w:val="24"/>
                <w:szCs w:val="24"/>
                <w:lang w:val="es-MX"/>
              </w:rPr>
            </w:pPr>
          </w:p>
        </w:tc>
        <w:tc>
          <w:tcPr>
            <w:tcW w:w="4678" w:type="dxa"/>
            <w:vAlign w:val="center"/>
          </w:tcPr>
          <w:p w:rsidR="00E73926" w:rsidRPr="00E73926" w:rsidRDefault="00E73926" w:rsidP="00E73926">
            <w:pPr>
              <w:pStyle w:val="Prrafodelista"/>
              <w:spacing w:after="0" w:line="240" w:lineRule="auto"/>
              <w:ind w:left="426"/>
              <w:contextualSpacing w:val="0"/>
              <w:jc w:val="center"/>
              <w:rPr>
                <w:rFonts w:ascii="Calibri Light" w:hAnsi="Calibri Light" w:cs="Calibri Light"/>
                <w:b/>
                <w:color w:val="2D3927"/>
                <w:sz w:val="24"/>
                <w:szCs w:val="24"/>
                <w:lang w:val="es-MX"/>
              </w:rPr>
            </w:pPr>
            <w:r w:rsidRPr="00E73926">
              <w:rPr>
                <w:rFonts w:ascii="Calibri Light" w:hAnsi="Calibri Light" w:cs="Calibri Light"/>
                <w:b/>
                <w:color w:val="2D3927"/>
                <w:sz w:val="24"/>
                <w:szCs w:val="24"/>
                <w:lang w:val="es-MX"/>
              </w:rPr>
              <w:t>EXCEDENTE DE</w:t>
            </w:r>
          </w:p>
          <w:p w:rsidR="00E73926" w:rsidRPr="00E73926" w:rsidRDefault="00AC21E3" w:rsidP="00E73926">
            <w:pPr>
              <w:pStyle w:val="Prrafodelista"/>
              <w:spacing w:after="0" w:line="240" w:lineRule="auto"/>
              <w:ind w:left="426"/>
              <w:contextualSpacing w:val="0"/>
              <w:jc w:val="center"/>
              <w:rPr>
                <w:rFonts w:ascii="Calibri Light" w:hAnsi="Calibri Light" w:cs="Calibri Light"/>
                <w:color w:val="2D3927"/>
                <w:sz w:val="24"/>
                <w:szCs w:val="24"/>
                <w:lang w:val="es-MX"/>
              </w:rPr>
            </w:pPr>
            <w:r w:rsidRPr="00E73926">
              <w:rPr>
                <w:rFonts w:ascii="Calibri Light" w:hAnsi="Calibri Light" w:cs="Calibri Light"/>
                <w:b/>
                <w:color w:val="2D3927"/>
                <w:sz w:val="24"/>
                <w:szCs w:val="24"/>
                <w:lang w:val="es-MX"/>
              </w:rPr>
              <w:t>$1,</w:t>
            </w:r>
            <w:r>
              <w:rPr>
                <w:rFonts w:ascii="Calibri Light" w:hAnsi="Calibri Light" w:cs="Calibri Light"/>
                <w:b/>
                <w:color w:val="2D3927"/>
                <w:sz w:val="24"/>
                <w:szCs w:val="24"/>
                <w:lang w:val="es-MX"/>
              </w:rPr>
              <w:t>934,400.01</w:t>
            </w:r>
          </w:p>
        </w:tc>
      </w:tr>
    </w:tbl>
    <w:p w:rsidR="00E5423F" w:rsidRPr="00E5423F" w:rsidRDefault="00E5423F" w:rsidP="00E5423F"/>
    <w:p w:rsidR="00E5423F" w:rsidRPr="00E73926" w:rsidRDefault="00E5423F" w:rsidP="00E73926">
      <w:pPr>
        <w:pStyle w:val="Prrafodelista"/>
        <w:ind w:left="2136" w:firstLine="696"/>
        <w:rPr>
          <w:rFonts w:cstheme="minorHAnsi"/>
          <w:b/>
          <w:color w:val="2D3927"/>
          <w:lang w:val="es-MX"/>
        </w:rPr>
      </w:pPr>
      <w:r w:rsidRPr="00E73926">
        <w:rPr>
          <w:rFonts w:cstheme="minorHAnsi"/>
          <w:b/>
          <w:color w:val="2D3927"/>
          <w:lang w:val="es-MX"/>
        </w:rPr>
        <w:t>LEY DE EGRESOS DEL ESTADO DE NUEVO LEÓN</w:t>
      </w:r>
    </w:p>
    <w:p w:rsidR="00E5423F" w:rsidRPr="00E73926" w:rsidRDefault="00E5423F" w:rsidP="00E73926">
      <w:pPr>
        <w:pStyle w:val="Prrafodelista"/>
        <w:jc w:val="center"/>
        <w:rPr>
          <w:rFonts w:cstheme="minorHAnsi"/>
          <w:b/>
          <w:color w:val="2D3927"/>
          <w:lang w:val="es-MX"/>
        </w:rPr>
      </w:pPr>
      <w:r w:rsidRPr="00E73926">
        <w:rPr>
          <w:rFonts w:cstheme="minorHAnsi"/>
          <w:b/>
          <w:color w:val="2D3927"/>
          <w:lang w:val="es-MX"/>
        </w:rPr>
        <w:t>PARA EL EJERCICIO FISCAL 201</w:t>
      </w:r>
      <w:r w:rsidR="00AC21E3">
        <w:rPr>
          <w:rFonts w:cstheme="minorHAnsi"/>
          <w:b/>
          <w:color w:val="2D3927"/>
          <w:lang w:val="es-MX"/>
        </w:rPr>
        <w:t>8</w:t>
      </w:r>
    </w:p>
    <w:p w:rsidR="00AC21E3" w:rsidRPr="00AC21E3" w:rsidRDefault="00AC21E3" w:rsidP="00AC21E3">
      <w:pPr>
        <w:ind w:right="142"/>
        <w:jc w:val="both"/>
        <w:rPr>
          <w:rFonts w:cstheme="minorHAnsi"/>
          <w:b/>
          <w:color w:val="2D3927"/>
          <w:sz w:val="22"/>
          <w:szCs w:val="22"/>
        </w:rPr>
      </w:pPr>
      <w:r w:rsidRPr="00AC21E3">
        <w:rPr>
          <w:rFonts w:cstheme="minorHAnsi"/>
          <w:b/>
          <w:color w:val="2D3927"/>
          <w:sz w:val="22"/>
          <w:szCs w:val="22"/>
        </w:rPr>
        <w:t>Artículo 64. Para los efectos previstos por los artículos 25, 42 y 43 de la Ley de Adquisiciones, Arrendamientos y Contratación de Servicios del Estado de Nuevo León, se observará lo siguiente:</w:t>
      </w:r>
    </w:p>
    <w:p w:rsidR="00AC21E3" w:rsidRPr="00AC21E3" w:rsidRDefault="00AC21E3" w:rsidP="00AC21E3">
      <w:pPr>
        <w:ind w:right="142"/>
        <w:jc w:val="both"/>
        <w:rPr>
          <w:rFonts w:cstheme="minorHAnsi"/>
          <w:b/>
          <w:color w:val="2D3927"/>
          <w:sz w:val="22"/>
          <w:szCs w:val="22"/>
        </w:rPr>
      </w:pPr>
    </w:p>
    <w:p w:rsidR="00AC21E3" w:rsidRPr="00AC21E3" w:rsidRDefault="00AC21E3" w:rsidP="00AC21E3">
      <w:pPr>
        <w:ind w:right="142"/>
        <w:jc w:val="both"/>
        <w:rPr>
          <w:rFonts w:cstheme="minorHAnsi"/>
          <w:b/>
          <w:color w:val="2D3927"/>
          <w:sz w:val="22"/>
          <w:szCs w:val="22"/>
        </w:rPr>
      </w:pPr>
      <w:r w:rsidRPr="00AC21E3">
        <w:rPr>
          <w:rFonts w:cstheme="minorHAnsi"/>
          <w:b/>
          <w:color w:val="2D3927"/>
          <w:sz w:val="22"/>
          <w:szCs w:val="22"/>
        </w:rPr>
        <w:t>I. Se contratará directamente cuando su monto no exceda de 2,400 cuotas.</w:t>
      </w:r>
    </w:p>
    <w:p w:rsidR="00AC21E3" w:rsidRPr="00AC21E3" w:rsidRDefault="00AC21E3" w:rsidP="00AC21E3">
      <w:pPr>
        <w:ind w:right="142"/>
        <w:jc w:val="both"/>
        <w:rPr>
          <w:rFonts w:cstheme="minorHAnsi"/>
          <w:b/>
          <w:color w:val="2D3927"/>
          <w:sz w:val="22"/>
          <w:szCs w:val="22"/>
        </w:rPr>
      </w:pPr>
    </w:p>
    <w:p w:rsidR="00AC21E3" w:rsidRPr="00AC21E3" w:rsidRDefault="00AC21E3" w:rsidP="00AC21E3">
      <w:pPr>
        <w:ind w:right="142"/>
        <w:jc w:val="both"/>
        <w:rPr>
          <w:rFonts w:cstheme="minorHAnsi"/>
          <w:b/>
          <w:color w:val="2D3927"/>
          <w:sz w:val="22"/>
          <w:szCs w:val="22"/>
        </w:rPr>
      </w:pPr>
      <w:r w:rsidRPr="00AC21E3">
        <w:rPr>
          <w:rFonts w:cstheme="minorHAnsi"/>
          <w:b/>
          <w:color w:val="2D3927"/>
          <w:sz w:val="22"/>
          <w:szCs w:val="22"/>
        </w:rPr>
        <w:t>II. Se contratará directamente mediante cotización por escrito de cuando menos tres proveedores, cuando su monto sea superior al señalado en la fracción I, pero no exceda de 14,400 cuotas.</w:t>
      </w:r>
    </w:p>
    <w:p w:rsidR="00AC21E3" w:rsidRPr="00AC21E3" w:rsidRDefault="00AC21E3" w:rsidP="00AC21E3">
      <w:pPr>
        <w:ind w:right="142"/>
        <w:jc w:val="both"/>
        <w:rPr>
          <w:rFonts w:cstheme="minorHAnsi"/>
          <w:b/>
          <w:color w:val="2D3927"/>
          <w:sz w:val="22"/>
          <w:szCs w:val="22"/>
        </w:rPr>
      </w:pPr>
    </w:p>
    <w:p w:rsidR="00AC21E3" w:rsidRPr="00AC21E3" w:rsidRDefault="00AC21E3" w:rsidP="00AC21E3">
      <w:pPr>
        <w:ind w:right="142"/>
        <w:jc w:val="both"/>
        <w:rPr>
          <w:rFonts w:cstheme="minorHAnsi"/>
          <w:b/>
          <w:color w:val="2D3927"/>
          <w:sz w:val="22"/>
          <w:szCs w:val="22"/>
        </w:rPr>
      </w:pPr>
      <w:r w:rsidRPr="00AC21E3">
        <w:rPr>
          <w:rFonts w:cstheme="minorHAnsi"/>
          <w:b/>
          <w:color w:val="2D3927"/>
          <w:sz w:val="22"/>
          <w:szCs w:val="22"/>
        </w:rPr>
        <w:t>III. Se contratará mediante concurso por invitación restringida a cuando menos tres proveedores, cuando su monto sea superior al señalado en la fracción II, pero no exceda de 24,000 cuotas.</w:t>
      </w:r>
    </w:p>
    <w:p w:rsidR="00AC21E3" w:rsidRPr="00AC21E3" w:rsidRDefault="00AC21E3" w:rsidP="00AC21E3">
      <w:pPr>
        <w:ind w:right="142"/>
        <w:jc w:val="both"/>
        <w:rPr>
          <w:rFonts w:cstheme="minorHAnsi"/>
          <w:b/>
          <w:color w:val="2D3927"/>
          <w:sz w:val="22"/>
          <w:szCs w:val="22"/>
        </w:rPr>
      </w:pPr>
    </w:p>
    <w:p w:rsidR="00AC21E3" w:rsidRPr="00AC21E3" w:rsidRDefault="00AC21E3" w:rsidP="00AC21E3">
      <w:pPr>
        <w:ind w:right="142"/>
        <w:jc w:val="both"/>
        <w:rPr>
          <w:rFonts w:cstheme="minorHAnsi"/>
          <w:b/>
          <w:color w:val="2D3927"/>
          <w:sz w:val="22"/>
          <w:szCs w:val="22"/>
        </w:rPr>
      </w:pPr>
      <w:r w:rsidRPr="00AC21E3">
        <w:rPr>
          <w:rFonts w:cstheme="minorHAnsi"/>
          <w:b/>
          <w:color w:val="2D3927"/>
          <w:sz w:val="22"/>
          <w:szCs w:val="22"/>
        </w:rPr>
        <w:t>IV. Se contratará mediante convocatoria pública que se dará a conocer en el Sistema Electrónico de Compras Públicas, así como un resumen en el Periódico Oficial del Estado y por lo menos en uno de los diarios de mayor circulación en la Entidad, cuando su monto exceda de 24,000 cuotas, debiendo cumplirse además con los requisitos que establece la Ley de Adquisiciones, Arrendamientos y Contratación de Servicios del Estado de Nuevo León.</w:t>
      </w:r>
    </w:p>
    <w:p w:rsidR="00AC21E3" w:rsidRPr="00AC21E3" w:rsidRDefault="00AC21E3" w:rsidP="00AC21E3">
      <w:pPr>
        <w:ind w:right="142"/>
        <w:jc w:val="both"/>
        <w:rPr>
          <w:rFonts w:cstheme="minorHAnsi"/>
          <w:b/>
          <w:color w:val="2D3927"/>
          <w:sz w:val="22"/>
          <w:szCs w:val="22"/>
        </w:rPr>
      </w:pPr>
    </w:p>
    <w:p w:rsidR="00AC21E3" w:rsidRPr="00AC21E3" w:rsidRDefault="00AC21E3" w:rsidP="00AC21E3">
      <w:pPr>
        <w:ind w:right="142"/>
        <w:jc w:val="both"/>
        <w:rPr>
          <w:rFonts w:cstheme="minorHAnsi"/>
          <w:b/>
          <w:color w:val="2D3927"/>
          <w:sz w:val="22"/>
          <w:szCs w:val="22"/>
        </w:rPr>
      </w:pPr>
      <w:r w:rsidRPr="00AC21E3">
        <w:rPr>
          <w:rFonts w:cstheme="minorHAnsi"/>
          <w:b/>
          <w:color w:val="2D3927"/>
          <w:sz w:val="22"/>
          <w:szCs w:val="22"/>
        </w:rPr>
        <w:t>V. Se podrá contratar a través del procedimiento de Subasta Electrónica Inversa, como procedimiento opcional en medios electrónicos, independientemente del monto de su valor de contratación.</w:t>
      </w:r>
    </w:p>
    <w:p w:rsidR="00AC21E3" w:rsidRPr="00AC21E3" w:rsidRDefault="00AC21E3" w:rsidP="00AC21E3">
      <w:pPr>
        <w:ind w:right="142"/>
        <w:jc w:val="both"/>
        <w:rPr>
          <w:rFonts w:cstheme="minorHAnsi"/>
          <w:b/>
          <w:color w:val="2D3927"/>
          <w:sz w:val="22"/>
          <w:szCs w:val="22"/>
        </w:rPr>
      </w:pPr>
    </w:p>
    <w:p w:rsidR="00AC21E3" w:rsidRPr="00AC21E3" w:rsidRDefault="00AC21E3" w:rsidP="00AC21E3">
      <w:pPr>
        <w:ind w:right="142"/>
        <w:jc w:val="both"/>
        <w:rPr>
          <w:rFonts w:cstheme="minorHAnsi"/>
          <w:b/>
          <w:color w:val="2D3927"/>
          <w:sz w:val="22"/>
          <w:szCs w:val="22"/>
        </w:rPr>
      </w:pPr>
      <w:r w:rsidRPr="00AC21E3">
        <w:rPr>
          <w:rFonts w:cstheme="minorHAnsi"/>
          <w:b/>
          <w:color w:val="2D3927"/>
          <w:sz w:val="22"/>
          <w:szCs w:val="22"/>
        </w:rPr>
        <w:t>El Ejecutivo del Estado y sus organismos descentralizados y fideicomisos públicos podrán enajenar bienes muebles sin sujetarse a licitación pública y en forma directa, cuando su monto no exceda de 2,400 cuotas.</w:t>
      </w:r>
    </w:p>
    <w:p w:rsidR="00AC21E3" w:rsidRPr="00AC21E3" w:rsidRDefault="00AC21E3" w:rsidP="00AC21E3">
      <w:pPr>
        <w:ind w:right="142"/>
        <w:jc w:val="both"/>
        <w:rPr>
          <w:rFonts w:cstheme="minorHAnsi"/>
          <w:b/>
          <w:color w:val="2D3927"/>
          <w:sz w:val="22"/>
          <w:szCs w:val="22"/>
        </w:rPr>
      </w:pPr>
    </w:p>
    <w:p w:rsidR="00AC21E3" w:rsidRPr="00AC21E3" w:rsidRDefault="00AC21E3" w:rsidP="00AC21E3">
      <w:pPr>
        <w:ind w:right="142"/>
        <w:jc w:val="both"/>
        <w:rPr>
          <w:rFonts w:cstheme="minorHAnsi"/>
          <w:b/>
          <w:color w:val="2D3927"/>
          <w:sz w:val="22"/>
          <w:szCs w:val="22"/>
        </w:rPr>
      </w:pPr>
      <w:r w:rsidRPr="00AC21E3">
        <w:rPr>
          <w:rFonts w:cstheme="minorHAnsi"/>
          <w:b/>
          <w:color w:val="2D3927"/>
          <w:sz w:val="22"/>
          <w:szCs w:val="22"/>
        </w:rPr>
        <w:t>Para los efectos del artículo 110 de la Ley de Administración Financiera para el Estado, el monto por el cual se podrán vender bienes inmuebles sin necesidad de licitación pública es de 24,000 cuotas. Si el avalúo excede de dicha cantidad deberá hacerse en licitación pública.</w:t>
      </w:r>
    </w:p>
    <w:p w:rsidR="00AC21E3" w:rsidRPr="00AC21E3" w:rsidRDefault="00AC21E3" w:rsidP="00AC21E3">
      <w:pPr>
        <w:ind w:right="142"/>
        <w:jc w:val="both"/>
        <w:rPr>
          <w:rFonts w:cstheme="minorHAnsi"/>
          <w:b/>
          <w:color w:val="2D3927"/>
          <w:sz w:val="22"/>
          <w:szCs w:val="22"/>
        </w:rPr>
      </w:pPr>
    </w:p>
    <w:p w:rsidR="00AC21E3" w:rsidRPr="00AC21E3" w:rsidRDefault="00AC21E3" w:rsidP="00AC21E3">
      <w:pPr>
        <w:ind w:right="142"/>
        <w:jc w:val="both"/>
        <w:rPr>
          <w:rFonts w:cstheme="minorHAnsi"/>
          <w:b/>
          <w:color w:val="2D3927"/>
          <w:sz w:val="22"/>
          <w:szCs w:val="22"/>
        </w:rPr>
      </w:pPr>
      <w:r w:rsidRPr="00AC21E3">
        <w:rPr>
          <w:rFonts w:cstheme="minorHAnsi"/>
          <w:b/>
          <w:color w:val="2D3927"/>
          <w:sz w:val="22"/>
          <w:szCs w:val="22"/>
        </w:rPr>
        <w:t>Tampoco se sujetará al requisito de licitación pública la enajenación de inmuebles en permuta como forma de pago para la adquisición de inmuebles o sus derechos, que sean necesarios para la realización de una obra pública o de un Proyecto de Asociación Público Privada.</w:t>
      </w:r>
    </w:p>
    <w:p w:rsidR="00AC21E3" w:rsidRPr="00AC21E3" w:rsidRDefault="00AC21E3" w:rsidP="00AC21E3">
      <w:pPr>
        <w:ind w:right="142"/>
        <w:jc w:val="both"/>
        <w:rPr>
          <w:rFonts w:cstheme="minorHAnsi"/>
          <w:b/>
          <w:color w:val="2D3927"/>
          <w:sz w:val="22"/>
          <w:szCs w:val="22"/>
        </w:rPr>
      </w:pPr>
    </w:p>
    <w:p w:rsidR="00E73926" w:rsidRPr="00E73926" w:rsidRDefault="00AC21E3" w:rsidP="00AC21E3">
      <w:pPr>
        <w:ind w:right="142"/>
        <w:jc w:val="both"/>
        <w:rPr>
          <w:rFonts w:cstheme="minorHAnsi"/>
          <w:b/>
          <w:color w:val="2D3927"/>
          <w:sz w:val="22"/>
          <w:szCs w:val="22"/>
        </w:rPr>
      </w:pPr>
      <w:r w:rsidRPr="00AC21E3">
        <w:rPr>
          <w:rFonts w:cstheme="minorHAnsi"/>
          <w:b/>
          <w:color w:val="2D3927"/>
          <w:sz w:val="22"/>
          <w:szCs w:val="22"/>
        </w:rPr>
        <w:t>Los montos establecidos deberán considerarse sin incluir el importe del Impuesto al Valor Agregado.</w:t>
      </w:r>
    </w:p>
    <w:p w:rsidR="00AC21E3" w:rsidRDefault="00AC21E3" w:rsidP="00094F5F">
      <w:pPr>
        <w:pStyle w:val="Prrafodelista"/>
        <w:ind w:left="0" w:right="142"/>
        <w:jc w:val="center"/>
        <w:rPr>
          <w:rFonts w:cstheme="minorHAnsi"/>
          <w:b/>
          <w:color w:val="2D3927"/>
          <w:lang w:val="es-MX"/>
        </w:rPr>
      </w:pPr>
    </w:p>
    <w:p w:rsidR="00E5423F" w:rsidRPr="00E73926" w:rsidRDefault="00AC21E3" w:rsidP="00094F5F">
      <w:pPr>
        <w:pStyle w:val="Prrafodelista"/>
        <w:ind w:left="0" w:right="142"/>
        <w:jc w:val="center"/>
        <w:rPr>
          <w:rFonts w:cstheme="minorHAnsi"/>
          <w:b/>
          <w:color w:val="2D3927"/>
          <w:lang w:val="es-MX"/>
        </w:rPr>
      </w:pPr>
      <w:r>
        <w:rPr>
          <w:rFonts w:cstheme="minorHAnsi"/>
          <w:b/>
          <w:color w:val="2D3927"/>
          <w:lang w:val="es-MX"/>
        </w:rPr>
        <w:t>UNIDAD DE MEDIDA Y ACTUALIZACION</w:t>
      </w:r>
    </w:p>
    <w:p w:rsidR="000C7E0C" w:rsidRPr="00E73926" w:rsidRDefault="00AC21E3" w:rsidP="00094F5F">
      <w:pPr>
        <w:ind w:right="142"/>
        <w:jc w:val="both"/>
        <w:rPr>
          <w:sz w:val="22"/>
          <w:szCs w:val="22"/>
        </w:rPr>
      </w:pPr>
      <w:r>
        <w:rPr>
          <w:rFonts w:cstheme="minorHAnsi"/>
          <w:b/>
          <w:color w:val="2D3927"/>
          <w:sz w:val="22"/>
          <w:szCs w:val="22"/>
        </w:rPr>
        <w:t>El Instituto Nacional de Estadística y Geografía (INEGI) anuncio que a partir del 1 de febrero de 2018 el valor de la Unidad de Medida y Actualización (UMA) diario es de $80.60 pesos</w:t>
      </w:r>
    </w:p>
    <w:sectPr w:rsidR="000C7E0C" w:rsidRPr="00E73926" w:rsidSect="00E73926">
      <w:headerReference w:type="default" r:id="rId7"/>
      <w:pgSz w:w="11906" w:h="16838"/>
      <w:pgMar w:top="1196" w:right="1416" w:bottom="1135" w:left="1134"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195" w:rsidRDefault="00D17195" w:rsidP="00E5423F">
      <w:r>
        <w:separator/>
      </w:r>
    </w:p>
  </w:endnote>
  <w:endnote w:type="continuationSeparator" w:id="0">
    <w:p w:rsidR="00D17195" w:rsidRDefault="00D17195" w:rsidP="00E54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4000207B"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195" w:rsidRDefault="00D17195" w:rsidP="00E5423F">
      <w:r>
        <w:separator/>
      </w:r>
    </w:p>
  </w:footnote>
  <w:footnote w:type="continuationSeparator" w:id="0">
    <w:p w:rsidR="00D17195" w:rsidRDefault="00D17195" w:rsidP="00E542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022" w:rsidRDefault="00F24022" w:rsidP="00F24022">
    <w:pPr>
      <w:pStyle w:val="Encabezado"/>
    </w:pPr>
    <w:r>
      <w:rPr>
        <w:noProof/>
        <w:lang w:val="es-ES"/>
      </w:rPr>
      <w:drawing>
        <wp:anchor distT="0" distB="0" distL="114300" distR="114300" simplePos="0" relativeHeight="251659264" behindDoc="0" locked="0" layoutInCell="1" allowOverlap="1" wp14:anchorId="5CE3C222" wp14:editId="289B7ABA">
          <wp:simplePos x="0" y="0"/>
          <wp:positionH relativeFrom="column">
            <wp:posOffset>19050</wp:posOffset>
          </wp:positionH>
          <wp:positionV relativeFrom="paragraph">
            <wp:posOffset>-189230</wp:posOffset>
          </wp:positionV>
          <wp:extent cx="1679575" cy="1057275"/>
          <wp:effectExtent l="0" t="0" r="0" b="9525"/>
          <wp:wrapSquare wrapText="bothSides"/>
          <wp:docPr id="1"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cabeza-03.jpg"/>
                  <pic:cNvPicPr/>
                </pic:nvPicPr>
                <pic:blipFill rotWithShape="1">
                  <a:blip r:embed="rId1">
                    <a:extLst>
                      <a:ext uri="{28A0092B-C50C-407E-A947-70E740481C1C}">
                        <a14:useLocalDpi xmlns:a14="http://schemas.microsoft.com/office/drawing/2010/main" val="0"/>
                      </a:ext>
                    </a:extLst>
                  </a:blip>
                  <a:srcRect l="5675" t="23256" r="67265" b="14244"/>
                  <a:stretch/>
                </pic:blipFill>
                <pic:spPr bwMode="auto">
                  <a:xfrm>
                    <a:off x="0" y="0"/>
                    <a:ext cx="1679575" cy="1057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5423F" w:rsidRDefault="00E5423F" w:rsidP="00E5423F">
    <w:pPr>
      <w:pStyle w:val="Encabezado"/>
      <w:jc w:val="center"/>
    </w:pPr>
  </w:p>
  <w:p w:rsidR="00F24022" w:rsidRDefault="00F24022" w:rsidP="00E5423F">
    <w:pPr>
      <w:pStyle w:val="Encabezado"/>
      <w:jc w:val="center"/>
    </w:pPr>
  </w:p>
  <w:p w:rsidR="00F24022" w:rsidRDefault="00F24022" w:rsidP="00E5423F">
    <w:pPr>
      <w:pStyle w:val="Encabezado"/>
      <w:jc w:val="center"/>
    </w:pPr>
  </w:p>
  <w:p w:rsidR="00F24022" w:rsidRDefault="00F24022" w:rsidP="00E5423F">
    <w:pPr>
      <w:pStyle w:val="Encabezad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2CA"/>
    <w:rsid w:val="00094F5F"/>
    <w:rsid w:val="0065242B"/>
    <w:rsid w:val="006F0E18"/>
    <w:rsid w:val="0081688A"/>
    <w:rsid w:val="008832CA"/>
    <w:rsid w:val="00A332B9"/>
    <w:rsid w:val="00AC21E3"/>
    <w:rsid w:val="00C57D73"/>
    <w:rsid w:val="00CB5663"/>
    <w:rsid w:val="00CD5F77"/>
    <w:rsid w:val="00CF716A"/>
    <w:rsid w:val="00D17195"/>
    <w:rsid w:val="00E5423F"/>
    <w:rsid w:val="00E62E9D"/>
    <w:rsid w:val="00E73926"/>
    <w:rsid w:val="00EC16A1"/>
    <w:rsid w:val="00F13C20"/>
    <w:rsid w:val="00F24022"/>
    <w:rsid w:val="00F64BB3"/>
    <w:rsid w:val="00FC2FF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23F"/>
    <w:pPr>
      <w:spacing w:after="0" w:line="240" w:lineRule="auto"/>
    </w:pPr>
    <w:rPr>
      <w:rFonts w:eastAsiaTheme="minorEastAsia"/>
      <w:sz w:val="24"/>
      <w:szCs w:val="24"/>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5423F"/>
    <w:pPr>
      <w:spacing w:after="160" w:line="259" w:lineRule="auto"/>
      <w:ind w:left="720"/>
      <w:contextualSpacing/>
    </w:pPr>
    <w:rPr>
      <w:rFonts w:eastAsiaTheme="minorHAnsi"/>
      <w:sz w:val="22"/>
      <w:szCs w:val="22"/>
      <w:lang w:val="es-ES" w:eastAsia="en-US"/>
    </w:rPr>
  </w:style>
  <w:style w:type="table" w:styleId="Tablaconcuadrcula">
    <w:name w:val="Table Grid"/>
    <w:basedOn w:val="Tablanormal"/>
    <w:uiPriority w:val="39"/>
    <w:rsid w:val="00E542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5423F"/>
    <w:pPr>
      <w:tabs>
        <w:tab w:val="center" w:pos="4252"/>
        <w:tab w:val="right" w:pos="8504"/>
      </w:tabs>
    </w:pPr>
  </w:style>
  <w:style w:type="character" w:customStyle="1" w:styleId="EncabezadoCar">
    <w:name w:val="Encabezado Car"/>
    <w:basedOn w:val="Fuentedeprrafopredeter"/>
    <w:link w:val="Encabezado"/>
    <w:uiPriority w:val="99"/>
    <w:rsid w:val="00E5423F"/>
    <w:rPr>
      <w:rFonts w:eastAsiaTheme="minorEastAsia"/>
      <w:sz w:val="24"/>
      <w:szCs w:val="24"/>
      <w:lang w:val="es-MX" w:eastAsia="es-ES"/>
    </w:rPr>
  </w:style>
  <w:style w:type="paragraph" w:styleId="Piedepgina">
    <w:name w:val="footer"/>
    <w:basedOn w:val="Normal"/>
    <w:link w:val="PiedepginaCar"/>
    <w:uiPriority w:val="99"/>
    <w:unhideWhenUsed/>
    <w:rsid w:val="00E5423F"/>
    <w:pPr>
      <w:tabs>
        <w:tab w:val="center" w:pos="4252"/>
        <w:tab w:val="right" w:pos="8504"/>
      </w:tabs>
    </w:pPr>
  </w:style>
  <w:style w:type="character" w:customStyle="1" w:styleId="PiedepginaCar">
    <w:name w:val="Pie de página Car"/>
    <w:basedOn w:val="Fuentedeprrafopredeter"/>
    <w:link w:val="Piedepgina"/>
    <w:uiPriority w:val="99"/>
    <w:rsid w:val="00E5423F"/>
    <w:rPr>
      <w:rFonts w:eastAsiaTheme="minorEastAsia"/>
      <w:sz w:val="24"/>
      <w:szCs w:val="24"/>
      <w:lang w:val="es-MX" w:eastAsia="es-ES"/>
    </w:rPr>
  </w:style>
  <w:style w:type="paragraph" w:styleId="Textodeglobo">
    <w:name w:val="Balloon Text"/>
    <w:basedOn w:val="Normal"/>
    <w:link w:val="TextodegloboCar"/>
    <w:uiPriority w:val="99"/>
    <w:semiHidden/>
    <w:unhideWhenUsed/>
    <w:rsid w:val="00F240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022"/>
    <w:rPr>
      <w:rFonts w:ascii="Segoe UI" w:eastAsiaTheme="minorEastAsia" w:hAnsi="Segoe UI" w:cs="Segoe UI"/>
      <w:sz w:val="18"/>
      <w:szCs w:val="18"/>
      <w:lang w:val="es-MX"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23F"/>
    <w:pPr>
      <w:spacing w:after="0" w:line="240" w:lineRule="auto"/>
    </w:pPr>
    <w:rPr>
      <w:rFonts w:eastAsiaTheme="minorEastAsia"/>
      <w:sz w:val="24"/>
      <w:szCs w:val="24"/>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5423F"/>
    <w:pPr>
      <w:spacing w:after="160" w:line="259" w:lineRule="auto"/>
      <w:ind w:left="720"/>
      <w:contextualSpacing/>
    </w:pPr>
    <w:rPr>
      <w:rFonts w:eastAsiaTheme="minorHAnsi"/>
      <w:sz w:val="22"/>
      <w:szCs w:val="22"/>
      <w:lang w:val="es-ES" w:eastAsia="en-US"/>
    </w:rPr>
  </w:style>
  <w:style w:type="table" w:styleId="Tablaconcuadrcula">
    <w:name w:val="Table Grid"/>
    <w:basedOn w:val="Tablanormal"/>
    <w:uiPriority w:val="39"/>
    <w:rsid w:val="00E542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5423F"/>
    <w:pPr>
      <w:tabs>
        <w:tab w:val="center" w:pos="4252"/>
        <w:tab w:val="right" w:pos="8504"/>
      </w:tabs>
    </w:pPr>
  </w:style>
  <w:style w:type="character" w:customStyle="1" w:styleId="EncabezadoCar">
    <w:name w:val="Encabezado Car"/>
    <w:basedOn w:val="Fuentedeprrafopredeter"/>
    <w:link w:val="Encabezado"/>
    <w:uiPriority w:val="99"/>
    <w:rsid w:val="00E5423F"/>
    <w:rPr>
      <w:rFonts w:eastAsiaTheme="minorEastAsia"/>
      <w:sz w:val="24"/>
      <w:szCs w:val="24"/>
      <w:lang w:val="es-MX" w:eastAsia="es-ES"/>
    </w:rPr>
  </w:style>
  <w:style w:type="paragraph" w:styleId="Piedepgina">
    <w:name w:val="footer"/>
    <w:basedOn w:val="Normal"/>
    <w:link w:val="PiedepginaCar"/>
    <w:uiPriority w:val="99"/>
    <w:unhideWhenUsed/>
    <w:rsid w:val="00E5423F"/>
    <w:pPr>
      <w:tabs>
        <w:tab w:val="center" w:pos="4252"/>
        <w:tab w:val="right" w:pos="8504"/>
      </w:tabs>
    </w:pPr>
  </w:style>
  <w:style w:type="character" w:customStyle="1" w:styleId="PiedepginaCar">
    <w:name w:val="Pie de página Car"/>
    <w:basedOn w:val="Fuentedeprrafopredeter"/>
    <w:link w:val="Piedepgina"/>
    <w:uiPriority w:val="99"/>
    <w:rsid w:val="00E5423F"/>
    <w:rPr>
      <w:rFonts w:eastAsiaTheme="minorEastAsia"/>
      <w:sz w:val="24"/>
      <w:szCs w:val="24"/>
      <w:lang w:val="es-MX" w:eastAsia="es-ES"/>
    </w:rPr>
  </w:style>
  <w:style w:type="paragraph" w:styleId="Textodeglobo">
    <w:name w:val="Balloon Text"/>
    <w:basedOn w:val="Normal"/>
    <w:link w:val="TextodegloboCar"/>
    <w:uiPriority w:val="99"/>
    <w:semiHidden/>
    <w:unhideWhenUsed/>
    <w:rsid w:val="00F240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022"/>
    <w:rPr>
      <w:rFonts w:ascii="Segoe UI" w:eastAsiaTheme="minorEastAsia"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425</Words>
  <Characters>2339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Priscila Rodriguez Ibarra</dc:creator>
  <cp:lastModifiedBy>Claudia Mayela Cruz Gaytan</cp:lastModifiedBy>
  <cp:revision>2</cp:revision>
  <cp:lastPrinted>2017-03-30T17:35:00Z</cp:lastPrinted>
  <dcterms:created xsi:type="dcterms:W3CDTF">2018-02-12T18:31:00Z</dcterms:created>
  <dcterms:modified xsi:type="dcterms:W3CDTF">2018-02-12T18:31:00Z</dcterms:modified>
</cp:coreProperties>
</file>