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11" w:rsidRDefault="00CE5A18">
      <w:pPr>
        <w:pBdr>
          <w:bottom w:val="single" w:sz="12" w:space="1" w:color="000000"/>
        </w:pBdr>
        <w:ind w:left="-284" w:right="-377" w:hanging="425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AVISO DE PRIVACIDAD SIMPLIFICADO – CAPACITACIÓN </w:t>
      </w:r>
    </w:p>
    <w:p w:rsidR="00641C11" w:rsidRDefault="00CE5A18">
      <w:pPr>
        <w:pBdr>
          <w:bottom w:val="single" w:sz="12" w:space="1" w:color="000000"/>
        </w:pBdr>
        <w:ind w:left="-284" w:right="-377" w:hanging="425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PRESENCIAL Y MODALIDAD EN LÍNEA</w:t>
      </w:r>
    </w:p>
    <w:p w:rsidR="00641C11" w:rsidRDefault="00641C11">
      <w:pPr>
        <w:pBdr>
          <w:bottom w:val="single" w:sz="12" w:space="1" w:color="000000"/>
        </w:pBdr>
        <w:ind w:left="-709" w:right="-377"/>
        <w:jc w:val="center"/>
        <w:rPr>
          <w:rFonts w:ascii="Cambria" w:eastAsia="Cambria" w:hAnsi="Cambria" w:cs="Cambria"/>
          <w:b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color w:val="000000"/>
        </w:rPr>
        <w:t>DATOS DEL RESPONSABLE DEL TRATAMIENTO.</w:t>
      </w:r>
      <w:r>
        <w:rPr>
          <w:rFonts w:ascii="Cambria" w:eastAsia="Cambria" w:hAnsi="Cambria" w:cs="Cambria"/>
          <w:color w:val="000000"/>
        </w:rPr>
        <w:t xml:space="preserve"> El Municipio de Monterrey, a través de la Secretaría de Innovación y Gobierno Abierto</w:t>
      </w:r>
      <w:r>
        <w:rPr>
          <w:rFonts w:ascii="Cambria" w:eastAsia="Cambria" w:hAnsi="Cambria" w:cs="Cambria"/>
        </w:rPr>
        <w:t xml:space="preserve">, con domicilio en </w:t>
      </w:r>
      <w:r>
        <w:rPr>
          <w:rFonts w:ascii="Cambria" w:eastAsia="Cambria" w:hAnsi="Cambria" w:cs="Cambria"/>
          <w:b/>
        </w:rPr>
        <w:t>Melchor Ocampo 130, piso 4, Centro, Monterrey, Nuevo León, C.P. 64000.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</w:rPr>
        <w:t xml:space="preserve">Finalidades. 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color w:val="000000"/>
        </w:rPr>
      </w:pPr>
      <w:bookmarkStart w:id="1" w:name="_heading=h.30j0zll" w:colFirst="0" w:colLast="0"/>
      <w:bookmarkEnd w:id="1"/>
      <w:r>
        <w:rPr>
          <w:rFonts w:ascii="Cambria" w:eastAsia="Cambria" w:hAnsi="Cambria" w:cs="Cambria"/>
          <w:b/>
        </w:rPr>
        <w:t xml:space="preserve">Principal. </w:t>
      </w:r>
      <w:r>
        <w:rPr>
          <w:rFonts w:ascii="Cambria" w:eastAsia="Cambria" w:hAnsi="Cambria" w:cs="Cambria"/>
          <w:color w:val="000000"/>
        </w:rPr>
        <w:t xml:space="preserve">Serán utilizados para recepción, registro, inscripción, asistencia y validación del ingreso de las y los participantes a los cursos de capacitación; de igual </w:t>
      </w:r>
      <w:r>
        <w:rPr>
          <w:rFonts w:ascii="Cambria" w:eastAsia="Cambria" w:hAnsi="Cambria" w:cs="Cambria"/>
          <w:color w:val="000000"/>
        </w:rPr>
        <w:t>manera se utilizarán sus datos en caso de que se generen constancias que acreditan la participación de los servidores públicos y finalización de los cursos, en su caso, elaborar informes y mantener una comunicación efectiva en caso que exista algún inconve</w:t>
      </w:r>
      <w:r>
        <w:rPr>
          <w:rFonts w:ascii="Cambria" w:eastAsia="Cambria" w:hAnsi="Cambria" w:cs="Cambria"/>
          <w:color w:val="000000"/>
        </w:rPr>
        <w:t>niente respecto al curso recibido.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color w:val="000000"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color w:val="000000"/>
        </w:rPr>
        <w:t xml:space="preserve">Secundaria. </w:t>
      </w:r>
      <w:r>
        <w:rPr>
          <w:rFonts w:ascii="Cambria" w:eastAsia="Cambria" w:hAnsi="Cambria" w:cs="Cambria"/>
          <w:color w:val="000000"/>
        </w:rPr>
        <w:t>Adicionalmente serán utilizados con fines de control y estadísticos para tener la certeza de que personas servidoras públicas del Municipio de Monterrey y sus Paramunicipales se encuentran capacitadas.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 w:rsidRPr="000C6688">
        <w:rPr>
          <w:rFonts w:ascii="Cambria" w:eastAsia="Cambria" w:hAnsi="Cambria" w:cs="Cambria"/>
          <w:b/>
        </w:rPr>
        <w:t>Consu</w:t>
      </w:r>
      <w:r w:rsidRPr="000C6688">
        <w:rPr>
          <w:rFonts w:ascii="Cambria" w:eastAsia="Cambria" w:hAnsi="Cambria" w:cs="Cambria"/>
          <w:b/>
        </w:rPr>
        <w:t xml:space="preserve">lta de aviso de privacidad integral. </w:t>
      </w:r>
      <w:r w:rsidRPr="000C6688">
        <w:rPr>
          <w:rFonts w:ascii="Cambria" w:eastAsia="Cambria" w:hAnsi="Cambria" w:cs="Cambria"/>
        </w:rPr>
        <w:t xml:space="preserve">Puede ser consultado en la lista desplegable que se encuentra en la página </w:t>
      </w:r>
      <w:hyperlink r:id="rId7">
        <w:r w:rsidRPr="000C6688"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</w:t>
        </w:r>
        <w:r w:rsidRPr="000C6688">
          <w:rPr>
            <w:rFonts w:ascii="Cambria" w:eastAsia="Cambria" w:hAnsi="Cambria" w:cs="Cambria"/>
            <w:color w:val="0563C1"/>
            <w:u w:val="single"/>
          </w:rPr>
          <w:t>d.html</w:t>
        </w:r>
      </w:hyperlink>
      <w:r w:rsidRPr="000C6688">
        <w:rPr>
          <w:rFonts w:ascii="Cambria" w:eastAsia="Cambria" w:hAnsi="Cambria" w:cs="Cambria"/>
          <w:color w:val="0563C1"/>
          <w:u w:val="single"/>
        </w:rPr>
        <w:t>.</w:t>
      </w:r>
      <w:r>
        <w:rPr>
          <w:rFonts w:ascii="Cambria" w:eastAsia="Cambria" w:hAnsi="Cambria" w:cs="Cambria"/>
        </w:rPr>
        <w:t xml:space="preserve">  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bookmarkStart w:id="2" w:name="_heading=h.1fob9te" w:colFirst="0" w:colLast="0"/>
      <w:bookmarkEnd w:id="2"/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Podrá manifestar su negativa de tratamiento de sus datos personales directamente </w:t>
      </w:r>
      <w:r>
        <w:rPr>
          <w:rFonts w:ascii="Cambria" w:eastAsia="Cambria" w:hAnsi="Cambria" w:cs="Cambria"/>
          <w:sz w:val="24"/>
          <w:szCs w:val="24"/>
        </w:rPr>
        <w:t>ante l</w:t>
      </w:r>
      <w:r>
        <w:rPr>
          <w:rFonts w:ascii="Cambria" w:eastAsia="Cambria" w:hAnsi="Cambria" w:cs="Cambria"/>
          <w:color w:val="000000"/>
        </w:rPr>
        <w:t>a Dirección de Transparencia de la Contraloría Municipal de Monterrey, que funge como l</w:t>
      </w:r>
      <w:r>
        <w:rPr>
          <w:rFonts w:ascii="Cambria" w:eastAsia="Cambria" w:hAnsi="Cambria" w:cs="Cambria"/>
          <w:color w:val="000000"/>
        </w:rPr>
        <w:t>a Unidad de Transparencia de la Administración Pública Centralizada del Municipio de Monterrey</w:t>
      </w:r>
      <w:r>
        <w:rPr>
          <w:rFonts w:ascii="Cambria" w:eastAsia="Cambria" w:hAnsi="Cambria" w:cs="Cambria"/>
        </w:rPr>
        <w:t xml:space="preserve">, Nuevo León, con domicilio en </w:t>
      </w:r>
      <w:r>
        <w:rPr>
          <w:rFonts w:ascii="Cambria" w:eastAsia="Cambria" w:hAnsi="Cambria" w:cs="Cambria"/>
          <w:b/>
        </w:rPr>
        <w:t>Hidalgo número 443, piso 1, en la colonia Centro, de Monterrey, Nuevo León, C.P. 64000</w:t>
      </w:r>
      <w:r>
        <w:rPr>
          <w:rFonts w:ascii="Cambria" w:eastAsia="Cambria" w:hAnsi="Cambria" w:cs="Cambria"/>
          <w:sz w:val="24"/>
          <w:szCs w:val="24"/>
        </w:rPr>
        <w:t>, y/o por medio del correo electrón</w:t>
      </w:r>
      <w:bookmarkStart w:id="3" w:name="_GoBack"/>
      <w:bookmarkEnd w:id="3"/>
      <w:r>
        <w:rPr>
          <w:rFonts w:ascii="Cambria" w:eastAsia="Cambria" w:hAnsi="Cambria" w:cs="Cambria"/>
          <w:sz w:val="24"/>
          <w:szCs w:val="24"/>
        </w:rPr>
        <w:t xml:space="preserve">ico </w:t>
      </w:r>
      <w:hyperlink r:id="rId8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transparencia.soporte@monterrey.gob.mx</w:t>
        </w:r>
      </w:hyperlink>
      <w:r>
        <w:rPr>
          <w:rFonts w:ascii="Cambria" w:eastAsia="Cambria" w:hAnsi="Cambria" w:cs="Cambria"/>
          <w:sz w:val="24"/>
          <w:szCs w:val="24"/>
        </w:rPr>
        <w:t>.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Transferencias. </w:t>
      </w:r>
      <w:r>
        <w:rPr>
          <w:rFonts w:ascii="Cambria" w:eastAsia="Cambria" w:hAnsi="Cambria" w:cs="Cambria"/>
        </w:rPr>
        <w:t>Se le comunica caso de pertenecer a alguna dependencia de la Administración Paramunicipal, se realizará la transferencia de sus datos personales a la misma en caso de que así lo soliciten, con la finalidad de que la dependencia confirme la asistencia al cu</w:t>
      </w:r>
      <w:r>
        <w:rPr>
          <w:rFonts w:ascii="Cambria" w:eastAsia="Cambria" w:hAnsi="Cambria" w:cs="Cambria"/>
        </w:rPr>
        <w:t>rso respectivo; así mismo, podrán ser comunicados sus datos personales a la Dirección de Recursos Humanos y Servicio Profesional de Carrera de la Secretaría de Finanzas y Administración, para que, en caso, de que se expida Constancia de capacitación, se en</w:t>
      </w:r>
      <w:r>
        <w:rPr>
          <w:rFonts w:ascii="Cambria" w:eastAsia="Cambria" w:hAnsi="Cambria" w:cs="Cambria"/>
        </w:rPr>
        <w:t>víe copia de la misma a la Unidad Administrativa mencionada para el expediente de personal correspondiente.</w:t>
      </w: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Por otro lado, se le informa que no se realizarán transferencias de sus datos personales adicionales, salvo para atender requerimientos de informa</w:t>
      </w:r>
      <w:r>
        <w:rPr>
          <w:rFonts w:ascii="Cambria" w:eastAsia="Cambria" w:hAnsi="Cambria" w:cs="Cambria"/>
        </w:rPr>
        <w:t>ción de autoridad competente tanto Interna del Municipio de Monterrey como externa, que estén debidamente fundados y motivados.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Domicilio de la Unidad de Transparencia. </w:t>
      </w:r>
      <w:r>
        <w:rPr>
          <w:rFonts w:ascii="Cambria" w:eastAsia="Cambria" w:hAnsi="Cambria" w:cs="Cambria"/>
        </w:rPr>
        <w:t xml:space="preserve">(Dirección de Transparencia de la Contraloría Municipal) </w:t>
      </w:r>
      <w:r>
        <w:rPr>
          <w:rFonts w:ascii="Cambria" w:eastAsia="Cambria" w:hAnsi="Cambria" w:cs="Cambria"/>
          <w:b/>
        </w:rPr>
        <w:t>Hidalgo número 443, piso 1, e</w:t>
      </w:r>
      <w:r>
        <w:rPr>
          <w:rFonts w:ascii="Cambria" w:eastAsia="Cambria" w:hAnsi="Cambria" w:cs="Cambria"/>
          <w:b/>
        </w:rPr>
        <w:t>n la colonia Centro, de Monterrey, Nuevo León, C.P. 64000</w:t>
      </w:r>
      <w:r>
        <w:rPr>
          <w:rFonts w:ascii="Cambria" w:eastAsia="Cambria" w:hAnsi="Cambria" w:cs="Cambria"/>
        </w:rPr>
        <w:t>.</w:t>
      </w: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  <w:b/>
        </w:rPr>
      </w:pPr>
    </w:p>
    <w:p w:rsidR="00641C11" w:rsidRDefault="00641C11">
      <w:pPr>
        <w:pBdr>
          <w:bottom w:val="single" w:sz="12" w:space="1" w:color="000000"/>
        </w:pBdr>
        <w:ind w:left="-709" w:right="-377"/>
        <w:jc w:val="both"/>
        <w:rPr>
          <w:rFonts w:ascii="Cambria" w:eastAsia="Cambria" w:hAnsi="Cambria" w:cs="Cambria"/>
        </w:rPr>
      </w:pPr>
    </w:p>
    <w:p w:rsidR="00641C11" w:rsidRDefault="00CE5A18">
      <w:pPr>
        <w:pBdr>
          <w:bottom w:val="single" w:sz="12" w:space="1" w:color="000000"/>
        </w:pBdr>
        <w:ind w:left="-709" w:right="-377"/>
        <w:jc w:val="right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Fecha de Creación: 30/Enero/2023</w:t>
      </w:r>
    </w:p>
    <w:sectPr w:rsidR="00641C11">
      <w:headerReference w:type="default" r:id="rId9"/>
      <w:pgSz w:w="12240" w:h="15840"/>
      <w:pgMar w:top="1418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18" w:rsidRDefault="00CE5A18">
      <w:r>
        <w:separator/>
      </w:r>
    </w:p>
  </w:endnote>
  <w:endnote w:type="continuationSeparator" w:id="0">
    <w:p w:rsidR="00CE5A18" w:rsidRDefault="00CE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18" w:rsidRDefault="00CE5A18">
      <w:r>
        <w:separator/>
      </w:r>
    </w:p>
  </w:footnote>
  <w:footnote w:type="continuationSeparator" w:id="0">
    <w:p w:rsidR="00CE5A18" w:rsidRDefault="00CE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C11" w:rsidRDefault="00CE5A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hanging="709"/>
      <w:rPr>
        <w:color w:val="000000"/>
      </w:rPr>
    </w:pPr>
    <w:r>
      <w:rPr>
        <w:noProof/>
        <w:color w:val="000000"/>
        <w:lang w:val="es-MX"/>
      </w:rPr>
      <w:drawing>
        <wp:inline distT="0" distB="0" distL="0" distR="0">
          <wp:extent cx="1791012" cy="936966"/>
          <wp:effectExtent l="0" t="0" r="0" b="0"/>
          <wp:docPr id="2" name="image1.png" descr="C:\Users\maria.guerra\Desktop\Nueva imagen 2021-2024\Sistema Logotipo Gob Monterrey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maria.guerra\Desktop\Nueva imagen 2021-2024\Sistema Logotipo Gob Monterrey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1012" cy="936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C11"/>
    <w:rsid w:val="000C6688"/>
    <w:rsid w:val="00641C11"/>
    <w:rsid w:val="00C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3BE14"/>
  <w15:docId w15:val="{F8878E16-52D3-44D8-A69C-D46FE8D0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B0A"/>
    <w:rPr>
      <w:rFonts w:ascii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0A"/>
    <w:rPr>
      <w:rFonts w:ascii="Calibri" w:hAnsi="Calibri" w:cs="Calibri"/>
      <w:lang w:eastAsia="es-MX"/>
    </w:rPr>
  </w:style>
  <w:style w:type="paragraph" w:styleId="Revisin">
    <w:name w:val="Revision"/>
    <w:hidden/>
    <w:uiPriority w:val="99"/>
    <w:semiHidden/>
    <w:rsid w:val="008D3018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76AA4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nterrey.gob.mx/transparencia/AvisosDePrivacidad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XJmN3bsyCh6f4NPD0THFNmEY6HA==">AMUW2mU4EtM3W+xkSp16P2nwCD1K1XrbhnTfmbeCYCuVhZvLvuveWxNw5d8WwthUJ0pouL04qRa68KDTvuAsECJPFMHdMFvNq54O8vtZpyq2PSEk1TnxdM7naNTeFWy9D+/WB35+mdeMhHZ9iG+fOaTmPbsaWnd/2Q==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Maria Eugenia Guerra Dominguez</cp:lastModifiedBy>
  <cp:revision>2</cp:revision>
  <dcterms:created xsi:type="dcterms:W3CDTF">2023-01-30T23:42:00Z</dcterms:created>
  <dcterms:modified xsi:type="dcterms:W3CDTF">2023-01-30T23:42:00Z</dcterms:modified>
</cp:coreProperties>
</file>