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7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ii6tk9ugzwsd" w:id="0"/>
      <w:bookmarkEnd w:id="0"/>
      <w:r w:rsidDel="00000000" w:rsidR="00000000" w:rsidRPr="00000000">
        <w:rPr>
          <w:rFonts w:ascii="Gabarito" w:cs="Gabarito" w:eastAsia="Gabarito" w:hAnsi="Gabarito"/>
          <w:b w:val="1"/>
          <w:bCs w:val="1"/>
          <w:i w:val="0"/>
          <w:iCs w:val="0"/>
          <w:smallCaps w:val="0"/>
          <w:strike w:val="0"/>
          <w:color w:val="000000"/>
          <w:sz w:val="24"/>
          <w:szCs w:val="24"/>
          <w:u w:val="none"/>
          <w:shd w:fill="auto" w:val="clear"/>
          <w:vertAlign w:val="baseline"/>
          <w:rtl w:val="0"/>
        </w:rPr>
        <w:t xml:space="preserve">AVISO DE PRIVACIDAD INTEGRAL – DILIGENCIAS DE JURISDICCION VOLUNTARIA SOBRE INFORMACIÓN AD-PERPETUAM</w:t>
      </w:r>
      <w:r w:rsidDel="00000000" w:rsidR="00000000" w:rsidRPr="00000000">
        <w:rPr>
          <w:rtl w:val="0"/>
        </w:rPr>
      </w:r>
    </w:p>
    <w:p w:rsidR="00000000" w:rsidDel="00000000" w:rsidP="00000000" w:rsidRDefault="00000000" w:rsidRPr="00000000" w14:paraId="00000002">
      <w:pPr>
        <w:jc w:val="both"/>
        <w:rPr>
          <w:rFonts w:ascii="Gabarito" w:cs="Gabarito" w:eastAsia="Gabarito" w:hAnsi="Gabarito"/>
        </w:rPr>
      </w:pPr>
      <w:bookmarkStart w:colFirst="0" w:colLast="0" w:name="_heading=h.9en8qv1i5hj" w:id="1"/>
      <w:bookmarkEnd w:id="1"/>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Vinculación de la Secretaría del Participación Ciudadana, con domicilio en</w:t>
      </w:r>
      <w:r w:rsidDel="00000000" w:rsidR="00000000" w:rsidRPr="00000000">
        <w:rPr>
          <w:rFonts w:ascii="Cambria" w:cs="Cambria" w:eastAsia="Cambria" w:hAnsi="Cambria"/>
          <w:rtl w:val="0"/>
        </w:rPr>
        <w:t xml:space="preserve"> </w:t>
      </w:r>
      <w:r w:rsidDel="00000000" w:rsidR="00000000" w:rsidRPr="00000000">
        <w:rPr>
          <w:rFonts w:ascii="Gabarito" w:cs="Gabarito" w:eastAsia="Gabarito" w:hAnsi="Gabarito"/>
          <w:rtl w:val="0"/>
        </w:rPr>
        <w:t xml:space="preserve">Zaragoza, S/N, colonia Centro, 64000, Monterrey, Nuevo León.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de las personas solicitantes y/o beneficiarias consistentes en: Nombre, fecha de nacimiento, teléfono, Registro y domicilio para oír y recibir notificaciones.</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informa que no se solicitarán datos personales sensibles</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b w:val="1"/>
          <w:bCs w:val="1"/>
        </w:rPr>
      </w:pPr>
      <w:bookmarkStart w:colFirst="0" w:colLast="0" w:name="_heading=h.buzywzlpqze3" w:id="2"/>
      <w:bookmarkEnd w:id="2"/>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Sus datos personales son necesarios para brindar apoyo legal, orientación y atención a ciudadanos sobre temas del Gobierno Municipal y temas de Derecho. Asimismo, los datos personales recabados serán utilizados para integrar, analizar y dar trámite a las solicitudes de diligencias de jurisdiccion voluntaria sobre información ad perpetuam; verificar la identidad de las personas solicitantes y la documentación presentada; brindar asesoría jurídica y acompañamiento durante el procedimiento; asi como para establecer comunicación, integrar expedientes, dar seguimiento alos trámites y cumplir con las obligaciones legales y administrativas aplicables.</w:t>
      </w:r>
      <w:r w:rsidDel="00000000" w:rsidR="00000000" w:rsidRPr="00000000">
        <w:rPr>
          <w:rtl w:val="0"/>
        </w:rPr>
      </w:r>
    </w:p>
    <w:p w:rsidR="00000000" w:rsidDel="00000000" w:rsidP="00000000" w:rsidRDefault="00000000" w:rsidRPr="00000000" w14:paraId="0000000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bookmarkStart w:colFirst="0" w:colLast="0" w:name="_heading=h.30j0zll" w:id="3"/>
      <w:bookmarkEnd w:id="3"/>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w:t>
      </w:r>
      <w:r w:rsidDel="00000000" w:rsidR="00000000" w:rsidRPr="00000000">
        <w:rPr>
          <w:rFonts w:ascii="Gabarito" w:cs="Gabarito" w:eastAsia="Gabarito" w:hAnsi="Gabarito"/>
          <w:color w:val="000000"/>
          <w:rtl w:val="0"/>
        </w:rPr>
        <w:t xml:space="preserve">Dirección de Vinculación de la Secretaría del Participación Ciudadana, con domicilio en</w:t>
      </w:r>
      <w:r w:rsidDel="00000000" w:rsidR="00000000" w:rsidRPr="00000000">
        <w:rPr>
          <w:rFonts w:ascii="Cambria" w:cs="Cambria" w:eastAsia="Cambria" w:hAnsi="Cambria"/>
          <w:color w:val="000000"/>
          <w:rtl w:val="0"/>
        </w:rPr>
        <w:t xml:space="preserve"> </w:t>
      </w:r>
      <w:r w:rsidDel="00000000" w:rsidR="00000000" w:rsidRPr="00000000">
        <w:rPr>
          <w:rFonts w:ascii="Gabarito" w:cs="Gabarito" w:eastAsia="Gabarito" w:hAnsi="Gabarito"/>
          <w:color w:val="000000"/>
          <w:rtl w:val="0"/>
        </w:rPr>
        <w:t xml:space="preserve">Zaragoza, S/N, colonia Centro, 64000, Monterrey, Nuevo León.</w:t>
      </w:r>
      <w:r w:rsidDel="00000000" w:rsidR="00000000" w:rsidRPr="00000000">
        <w:rPr>
          <w:rFonts w:ascii="Gabarito" w:cs="Gabarito" w:eastAsia="Gabarito" w:hAnsi="Gabarito"/>
          <w:rtl w:val="0"/>
        </w:rPr>
        <w:t xml:space="preserve">;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u w:val="single"/>
          <w:rtl w:val="0"/>
        </w:rPr>
        <w:t xml:space="preserve">.</w:t>
      </w: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bookmarkStart w:colFirst="0" w:colLast="0" w:name="_heading=h.v409i84fdh3n" w:id="4"/>
      <w:bookmarkEnd w:id="4"/>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E">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617" cy="65393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4507505</wp:posOffset>
          </wp:positionH>
          <wp:positionV relativeFrom="paragraph">
            <wp:posOffset>-54002</wp:posOffset>
          </wp:positionV>
          <wp:extent cx="1645009" cy="556440"/>
          <wp:effectExtent b="0" l="0" r="0" t="0"/>
          <wp:wrapNone/>
          <wp:docPr descr="C:\Users\david.hernandez\AppData\Local\Microsoft\Windows\INetCache\Content.MSO\A6166AA5.tmp" id="2" name="image3.png"/>
          <a:graphic>
            <a:graphicData uri="http://schemas.openxmlformats.org/drawingml/2006/picture">
              <pic:pic>
                <pic:nvPicPr>
                  <pic:cNvPr descr="C:\Users\david.hernandez\AppData\Local\Microsoft\Windows\INetCache\Content.MSO\A6166AA5.tmp" id="0" name="image3.png"/>
                  <pic:cNvPicPr preferRelativeResize="0"/>
                </pic:nvPicPr>
                <pic:blipFill>
                  <a:blip r:embed="rId2"/>
                  <a:srcRect b="0" l="0" r="0" t="0"/>
                  <a:stretch>
                    <a:fillRect/>
                  </a:stretch>
                </pic:blipFill>
                <pic:spPr>
                  <a:xfrm>
                    <a:off x="0" y="0"/>
                    <a:ext cx="1645009" cy="556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hDKvX69s6Jj4gXAn1R3phg5pA==">CgMxLjAyDmguaWk2dGs5dWd6d3NkMg1oLjllbjhxdjFpNWhqMg5oLmJ1enl3emxwcXplMzIJaC4zMGowemxsMg5oLnY0MDlpODRmZGgzbjgAciExV2hKMGZRbkhDeWhTZi1xTm5SUHN6SGpQSldyZUE2ZFI=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