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EVENTOS DE INTEGRACIÓN COMUNITARIA</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Vinculación de la Secretaría del Participación Ciudadana, con domicilio en</w:t>
      </w:r>
      <w:r w:rsidDel="00000000" w:rsidR="00000000" w:rsidRPr="00000000">
        <w:rPr>
          <w:rFonts w:ascii="Cambria" w:cs="Cambria" w:eastAsia="Cambria" w:hAnsi="Cambria"/>
          <w:rtl w:val="0"/>
        </w:rPr>
        <w:t xml:space="preserve"> </w:t>
      </w:r>
      <w:r w:rsidDel="00000000" w:rsidR="00000000" w:rsidRPr="00000000">
        <w:rPr>
          <w:rFonts w:ascii="Gabarito" w:cs="Gabarito" w:eastAsia="Gabarito" w:hAnsi="Gabarito"/>
          <w:rtl w:val="0"/>
        </w:rPr>
        <w:t xml:space="preserve">Zaragoza, S/N, colonia Centro, 64000, Monterrey, Nuevo León.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de las personas solicitantes y/o beneficiarias consistentes en: Nombre, teléfono, Registro Federal de Contribuyentes (RFC) y domicilio para oír y recibir notificaciones.</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informa que no se solicitarán datos personales sensibles</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b w:val="1"/>
          <w:bCs w:val="1"/>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son necesarios para brindar apoyo legal, orientación y atención a ciudadanos sobre temas del Gobierno Municipal y temas de Derecho. Asimismo, los datos personales que nos proporcione podrán ser utilizados para contar con datos de control interno, estadísticos e informes sobre el servicio brindado.</w:t>
      </w: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E">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1.png"/>
          <a:graphic>
            <a:graphicData uri="http://schemas.openxmlformats.org/drawingml/2006/picture">
              <pic:pic>
                <pic:nvPicPr>
                  <pic:cNvPr descr="C:\Users\david.hernandez\AppData\Local\Microsoft\Windows\INetCache\Content.MSO\A6166AA5.tmp" id="0" name="image1.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J2Qi7gTflaqHgRfT0I6feLqvQ==">CgMxLjAyDmguaWk2dGs5dWd6d3NkMg5oLmJ1enl3emxwcXplMzIJaC4zMGowemxsMg5oLnY0MDlpODRmZGgzbjgAciExdlhkNG91R1ZnWF9aWHQ2bXhkUnNOYkpwMWo2RDdfRTk=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