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b w:val="1"/>
          <w:rtl w:val="0"/>
        </w:rPr>
        <w:t xml:space="preserve">AVISO DE PRIVACIDAD INTEGRAL – JUVENTUD ES MONTERREY</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w:t>
      </w:r>
      <w:r w:rsidDel="00000000" w:rsidR="00000000" w:rsidRPr="00000000">
        <w:rPr>
          <w:rFonts w:ascii="Cambria" w:cs="Cambria" w:eastAsia="Cambria" w:hAnsi="Cambria"/>
          <w:rtl w:val="0"/>
        </w:rPr>
        <w:t xml:space="preserve"> Calle Supremos Poderes #4408 Col. La República, 64900 Monterrey Nuevo León, México</w:t>
      </w:r>
      <w:r w:rsidDel="00000000" w:rsidR="00000000" w:rsidRPr="00000000">
        <w:rPr>
          <w:rFonts w:ascii="Cambria" w:cs="Cambria" w:eastAsia="Cambria" w:hAnsi="Cambria"/>
          <w:color w:val="000000"/>
          <w:rtl w:val="0"/>
        </w:rPr>
        <w:t xml:space="preserve">;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domicilio, correo electrónico.</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Conformar el registro de beneficiarios de los cursos, talleres, conferencias, representaciones, concursos, entre otras actividades que permitan la creación de espacios seguros para la expresión individual, cultural e ideológica de las juventudes de Monterrey por parte del instituto de la Juventud Regia</w:t>
      </w: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Adicionalmente será utilizada para contar con datos de control y estadísticos para la evaluación de este proyecto estratégico.</w:t>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 Calle Supremos Poderes #4408 Col. La República, 64900 Monterrey Nuevo León, México, la cual le apoyará en el trámite de sus solicitudes para el ejercicio de estos derechos y atenderá cualquier duda que pudiera tener respecto al tratamiento de su información, 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tl w:val="0"/>
        </w:rPr>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ind w:left="-709" w:right="-377"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27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2766B8"/>
    <w:rPr>
      <w:color w:val="605e5c"/>
      <w:shd w:color="auto" w:fill="e1dfdd" w:val="clear"/>
    </w:rPr>
  </w:style>
  <w:style w:type="character" w:styleId="Mencinsinresolver3" w:customStyle="1">
    <w:name w:val="Mención sin resolver3"/>
    <w:basedOn w:val="Fuentedeprrafopredeter"/>
    <w:uiPriority w:val="99"/>
    <w:semiHidden w:val="1"/>
    <w:unhideWhenUsed w:val="1"/>
    <w:rsid w:val="00711521"/>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xW+jgJoZNCDS8Ekenb1nrmZixw==">AMUW2mVNEREdO0+GHjB9MEgr5cARmy7LveYal73JtRM0cQLaPcGETbGY+ktED+F0/tDj9TIuFF12OA/0/93180TAffFno2OfjwfCUyK02ruMSbRzXVx0igNVyIj8iR4k0+5NjtVTQw/O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2023-05-09T18:33:00Z</dcterms:created>
  <dc:creator>Tania Hernandez Gonzalez</dc:creator>
</cp:coreProperties>
</file>