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5D6" w:rsidRPr="0050035B" w:rsidRDefault="000B2BF3">
      <w:pPr>
        <w:rPr>
          <w:lang w:val="es-MX"/>
        </w:rPr>
      </w:pPr>
      <w:bookmarkStart w:id="0" w:name="_GoBack"/>
      <w:bookmarkEnd w:id="0"/>
      <w:r w:rsidRPr="000B2BF3">
        <w:rPr>
          <w:noProof/>
          <w:lang w:val="es-MX" w:eastAsia="es-MX"/>
        </w:rPr>
        <w:drawing>
          <wp:anchor distT="0" distB="0" distL="114300" distR="114300" simplePos="0" relativeHeight="251761664" behindDoc="1" locked="0" layoutInCell="1" allowOverlap="1" wp14:anchorId="1E641003" wp14:editId="40F59357">
            <wp:simplePos x="0" y="0"/>
            <wp:positionH relativeFrom="page">
              <wp:posOffset>-6350</wp:posOffset>
            </wp:positionH>
            <wp:positionV relativeFrom="paragraph">
              <wp:posOffset>-540707</wp:posOffset>
            </wp:positionV>
            <wp:extent cx="7779224" cy="11008286"/>
            <wp:effectExtent l="0" t="0" r="0" b="3175"/>
            <wp:wrapNone/>
            <wp:docPr id="16" name="Imagen 16" descr="C:\Users\armando.navarro\Desktop\Presupuesto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ndo.navarro\Desktop\Presupuesto 20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9224" cy="110082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2B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158D3" w:rsidRPr="0050035B" w:rsidRDefault="003158D3">
      <w:pPr>
        <w:rPr>
          <w:lang w:val="es-MX"/>
        </w:rPr>
        <w:sectPr w:rsidR="003158D3" w:rsidRPr="0050035B" w:rsidSect="009A6ECA">
          <w:headerReference w:type="default" r:id="rId9"/>
          <w:footerReference w:type="even" r:id="rId10"/>
          <w:footerReference w:type="default" r:id="rId11"/>
          <w:footerReference w:type="first" r:id="rId12"/>
          <w:pgSz w:w="12240" w:h="15840"/>
          <w:pgMar w:top="0" w:right="1440" w:bottom="1440" w:left="1985" w:header="708" w:footer="674" w:gutter="0"/>
          <w:pgNumType w:start="1"/>
          <w:cols w:space="708"/>
          <w:titlePg/>
          <w:docGrid w:linePitch="360"/>
        </w:sectPr>
      </w:pPr>
    </w:p>
    <w:p w:rsidR="003A25D6" w:rsidRPr="0050035B" w:rsidRDefault="003A25D6">
      <w:pPr>
        <w:rPr>
          <w:lang w:val="es-MX"/>
        </w:rPr>
      </w:pPr>
    </w:p>
    <w:p w:rsidR="003A25D6" w:rsidRPr="0050035B" w:rsidRDefault="003A25D6">
      <w:pPr>
        <w:rPr>
          <w:rFonts w:ascii="Century Gothic" w:hAnsi="Century Gothic"/>
          <w:b/>
          <w:lang w:val="es-MX"/>
        </w:rPr>
      </w:pPr>
    </w:p>
    <w:p w:rsidR="0048225F" w:rsidRPr="0050035B" w:rsidRDefault="0048225F" w:rsidP="00250B17">
      <w:pPr>
        <w:spacing w:line="360" w:lineRule="auto"/>
        <w:jc w:val="center"/>
        <w:rPr>
          <w:rFonts w:ascii="Century Gothic" w:hAnsi="Century Gothic"/>
          <w:b/>
          <w:lang w:val="es-MX"/>
        </w:rPr>
      </w:pPr>
    </w:p>
    <w:p w:rsidR="0048225F" w:rsidRPr="0050035B" w:rsidRDefault="0048225F" w:rsidP="00250B17">
      <w:pPr>
        <w:spacing w:line="360" w:lineRule="auto"/>
        <w:jc w:val="center"/>
        <w:rPr>
          <w:rFonts w:ascii="Century Gothic" w:hAnsi="Century Gothic"/>
          <w:b/>
          <w:lang w:val="es-MX"/>
        </w:rPr>
      </w:pPr>
    </w:p>
    <w:p w:rsidR="0048225F" w:rsidRPr="0050035B" w:rsidRDefault="0048225F" w:rsidP="00250B17">
      <w:pPr>
        <w:spacing w:line="360" w:lineRule="auto"/>
        <w:jc w:val="center"/>
        <w:rPr>
          <w:rFonts w:ascii="Century Gothic" w:hAnsi="Century Gothic"/>
          <w:b/>
          <w:lang w:val="es-MX"/>
        </w:rPr>
      </w:pPr>
    </w:p>
    <w:p w:rsidR="0048225F" w:rsidRPr="0050035B" w:rsidRDefault="009F712E" w:rsidP="00250B17">
      <w:pPr>
        <w:spacing w:line="360" w:lineRule="auto"/>
        <w:jc w:val="center"/>
        <w:rPr>
          <w:rFonts w:ascii="Century Gothic" w:hAnsi="Century Gothic"/>
          <w:b/>
          <w:lang w:val="es-MX"/>
        </w:rPr>
      </w:pPr>
      <w:r w:rsidRPr="009F712E">
        <w:rPr>
          <w:rFonts w:ascii="Century Gothic" w:hAnsi="Century Gothic"/>
          <w:noProof/>
          <w:lang w:val="es-MX" w:eastAsia="es-MX"/>
        </w:rPr>
        <w:drawing>
          <wp:anchor distT="0" distB="0" distL="114300" distR="114300" simplePos="0" relativeHeight="251754496" behindDoc="1" locked="0" layoutInCell="1" allowOverlap="1" wp14:anchorId="204E2474" wp14:editId="7872BA4B">
            <wp:simplePos x="0" y="0"/>
            <wp:positionH relativeFrom="column">
              <wp:posOffset>-514517</wp:posOffset>
            </wp:positionH>
            <wp:positionV relativeFrom="paragraph">
              <wp:posOffset>392162</wp:posOffset>
            </wp:positionV>
            <wp:extent cx="6474093" cy="3392905"/>
            <wp:effectExtent l="0" t="0" r="3175" b="0"/>
            <wp:wrapNone/>
            <wp:docPr id="7" name="Imagen 7" descr="C:\Users\armando.navarro\Desktop\Logo nuevo\Sistema Logotipo Gob Monterre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ndo.navarro\Desktop\Logo nuevo\Sistema Logotipo Gob Monterrey-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4470" cy="33983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225F" w:rsidRPr="0050035B" w:rsidRDefault="0048225F" w:rsidP="00250B17">
      <w:pPr>
        <w:spacing w:line="360" w:lineRule="auto"/>
        <w:jc w:val="center"/>
        <w:rPr>
          <w:rFonts w:ascii="Century Gothic" w:hAnsi="Century Gothic"/>
          <w:b/>
          <w:lang w:val="es-MX"/>
        </w:rPr>
      </w:pPr>
    </w:p>
    <w:p w:rsidR="0048225F" w:rsidRPr="0050035B" w:rsidRDefault="0048225F" w:rsidP="00250B17">
      <w:pPr>
        <w:spacing w:line="360" w:lineRule="auto"/>
        <w:jc w:val="center"/>
        <w:rPr>
          <w:rFonts w:ascii="Century Gothic" w:hAnsi="Century Gothic"/>
          <w:b/>
          <w:lang w:val="es-MX"/>
        </w:rPr>
      </w:pPr>
    </w:p>
    <w:p w:rsidR="0048225F" w:rsidRPr="0050035B" w:rsidRDefault="0048225F" w:rsidP="00250B17">
      <w:pPr>
        <w:spacing w:line="360" w:lineRule="auto"/>
        <w:jc w:val="center"/>
        <w:rPr>
          <w:rFonts w:ascii="Century Gothic" w:hAnsi="Century Gothic"/>
          <w:b/>
          <w:lang w:val="es-MX"/>
        </w:rPr>
      </w:pPr>
    </w:p>
    <w:p w:rsidR="0048225F" w:rsidRPr="0050035B" w:rsidRDefault="0048225F" w:rsidP="00250B17">
      <w:pPr>
        <w:spacing w:line="360" w:lineRule="auto"/>
        <w:jc w:val="center"/>
        <w:rPr>
          <w:rFonts w:ascii="Century Gothic" w:hAnsi="Century Gothic"/>
          <w:lang w:val="es-MX"/>
        </w:rPr>
      </w:pPr>
    </w:p>
    <w:p w:rsidR="003158D3" w:rsidRPr="0050035B" w:rsidRDefault="003158D3">
      <w:pPr>
        <w:rPr>
          <w:rFonts w:ascii="Century Gothic" w:hAnsi="Century Gothic"/>
          <w:lang w:val="es-MX"/>
        </w:rPr>
      </w:pPr>
    </w:p>
    <w:p w:rsidR="003158D3" w:rsidRPr="0050035B" w:rsidRDefault="003158D3">
      <w:pPr>
        <w:rPr>
          <w:rFonts w:ascii="Century Gothic" w:hAnsi="Century Gothic"/>
          <w:lang w:val="es-MX"/>
        </w:rPr>
      </w:pPr>
    </w:p>
    <w:p w:rsidR="003158D3" w:rsidRPr="0050035B" w:rsidRDefault="003158D3">
      <w:pPr>
        <w:rPr>
          <w:rFonts w:ascii="Century Gothic" w:hAnsi="Century Gothic"/>
          <w:lang w:val="es-MX"/>
        </w:rPr>
      </w:pPr>
    </w:p>
    <w:p w:rsidR="003158D3" w:rsidRPr="0050035B" w:rsidRDefault="003158D3">
      <w:pPr>
        <w:rPr>
          <w:rFonts w:ascii="Century Gothic" w:hAnsi="Century Gothic"/>
          <w:lang w:val="es-MX"/>
        </w:rPr>
      </w:pPr>
    </w:p>
    <w:p w:rsidR="003158D3" w:rsidRPr="0050035B" w:rsidRDefault="003158D3">
      <w:pPr>
        <w:rPr>
          <w:rFonts w:ascii="Century Gothic" w:hAnsi="Century Gothic"/>
          <w:lang w:val="es-MX"/>
        </w:rPr>
      </w:pPr>
    </w:p>
    <w:p w:rsidR="003158D3" w:rsidRPr="0050035B" w:rsidRDefault="003158D3">
      <w:pPr>
        <w:rPr>
          <w:rFonts w:ascii="Century Gothic" w:hAnsi="Century Gothic"/>
          <w:lang w:val="es-MX"/>
        </w:rPr>
      </w:pPr>
    </w:p>
    <w:p w:rsidR="003158D3" w:rsidRPr="0050035B" w:rsidRDefault="003158D3">
      <w:pPr>
        <w:rPr>
          <w:rFonts w:ascii="Century Gothic" w:hAnsi="Century Gothic"/>
          <w:lang w:val="es-MX"/>
        </w:rPr>
      </w:pPr>
    </w:p>
    <w:p w:rsidR="003158D3" w:rsidRPr="0050035B" w:rsidRDefault="003158D3">
      <w:pPr>
        <w:rPr>
          <w:rFonts w:ascii="Century Gothic" w:hAnsi="Century Gothic"/>
          <w:lang w:val="es-MX"/>
        </w:rPr>
      </w:pPr>
    </w:p>
    <w:p w:rsidR="003158D3" w:rsidRPr="0050035B" w:rsidRDefault="003158D3">
      <w:pPr>
        <w:rPr>
          <w:rFonts w:ascii="Century Gothic" w:hAnsi="Century Gothic"/>
          <w:lang w:val="es-MX"/>
        </w:rPr>
      </w:pPr>
    </w:p>
    <w:p w:rsidR="003158D3" w:rsidRPr="0050035B" w:rsidRDefault="003158D3">
      <w:pPr>
        <w:rPr>
          <w:rFonts w:ascii="Century Gothic" w:hAnsi="Century Gothic"/>
          <w:lang w:val="es-MX"/>
        </w:rPr>
      </w:pPr>
    </w:p>
    <w:p w:rsidR="003158D3" w:rsidRPr="0050035B" w:rsidRDefault="003158D3">
      <w:pPr>
        <w:rPr>
          <w:rFonts w:ascii="Century Gothic" w:hAnsi="Century Gothic"/>
          <w:lang w:val="es-MX"/>
        </w:rPr>
      </w:pPr>
    </w:p>
    <w:p w:rsidR="003158D3" w:rsidRPr="0050035B" w:rsidRDefault="003158D3">
      <w:pPr>
        <w:rPr>
          <w:rFonts w:ascii="Century Gothic" w:hAnsi="Century Gothic"/>
          <w:lang w:val="es-MX"/>
        </w:rPr>
      </w:pPr>
    </w:p>
    <w:p w:rsidR="003158D3" w:rsidRPr="0050035B" w:rsidRDefault="003158D3">
      <w:pPr>
        <w:rPr>
          <w:rFonts w:ascii="Century Gothic" w:hAnsi="Century Gothic"/>
          <w:lang w:val="es-MX"/>
        </w:rPr>
      </w:pPr>
    </w:p>
    <w:p w:rsidR="003158D3" w:rsidRPr="0050035B" w:rsidRDefault="003158D3">
      <w:pPr>
        <w:rPr>
          <w:rFonts w:ascii="Century Gothic" w:hAnsi="Century Gothic"/>
          <w:lang w:val="es-MX"/>
        </w:rPr>
      </w:pPr>
    </w:p>
    <w:p w:rsidR="003158D3" w:rsidRPr="0050035B" w:rsidRDefault="003158D3">
      <w:pPr>
        <w:rPr>
          <w:rFonts w:ascii="Century Gothic" w:hAnsi="Century Gothic"/>
          <w:lang w:val="es-MX"/>
        </w:rPr>
      </w:pPr>
    </w:p>
    <w:p w:rsidR="003158D3" w:rsidRPr="0050035B" w:rsidRDefault="003158D3">
      <w:pPr>
        <w:rPr>
          <w:rFonts w:ascii="Century Gothic" w:hAnsi="Century Gothic"/>
          <w:lang w:val="es-MX"/>
        </w:rPr>
      </w:pPr>
    </w:p>
    <w:p w:rsidR="003158D3" w:rsidRPr="0050035B" w:rsidRDefault="003158D3">
      <w:pPr>
        <w:rPr>
          <w:rFonts w:ascii="Century Gothic" w:hAnsi="Century Gothic"/>
          <w:lang w:val="es-MX"/>
        </w:rPr>
      </w:pPr>
    </w:p>
    <w:p w:rsidR="003158D3" w:rsidRPr="0050035B" w:rsidRDefault="003158D3">
      <w:pPr>
        <w:rPr>
          <w:rFonts w:ascii="Century Gothic" w:hAnsi="Century Gothic"/>
          <w:lang w:val="es-MX"/>
        </w:rPr>
      </w:pPr>
    </w:p>
    <w:p w:rsidR="005D38BC" w:rsidRPr="0050035B" w:rsidRDefault="005D38BC">
      <w:pPr>
        <w:rPr>
          <w:rFonts w:ascii="Century Gothic" w:hAnsi="Century Gothic"/>
          <w:lang w:val="es-MX"/>
        </w:rPr>
        <w:sectPr w:rsidR="005D38BC" w:rsidRPr="0050035B" w:rsidSect="00205B95">
          <w:headerReference w:type="default" r:id="rId14"/>
          <w:headerReference w:type="first" r:id="rId15"/>
          <w:pgSz w:w="12240" w:h="15840"/>
          <w:pgMar w:top="1954" w:right="1440" w:bottom="1440" w:left="1985" w:header="708" w:footer="674" w:gutter="0"/>
          <w:pgNumType w:start="2"/>
          <w:cols w:space="708"/>
          <w:titlePg/>
          <w:docGrid w:linePitch="360"/>
        </w:sectPr>
      </w:pPr>
    </w:p>
    <w:p w:rsidR="00B56651" w:rsidRPr="0050035B" w:rsidRDefault="00B56651">
      <w:pPr>
        <w:rPr>
          <w:rFonts w:ascii="Century Gothic" w:hAnsi="Century Gothic"/>
          <w:lang w:val="es-MX"/>
        </w:rPr>
      </w:pPr>
    </w:p>
    <w:p w:rsidR="00B56651" w:rsidRPr="0050035B" w:rsidRDefault="00B56651" w:rsidP="00250B17">
      <w:pPr>
        <w:spacing w:line="360" w:lineRule="auto"/>
        <w:jc w:val="center"/>
        <w:rPr>
          <w:rFonts w:ascii="Century Gothic" w:hAnsi="Century Gothic"/>
          <w:lang w:val="es-MX"/>
        </w:rPr>
      </w:pPr>
    </w:p>
    <w:p w:rsidR="003A25D6" w:rsidRPr="0050035B" w:rsidRDefault="009F712E">
      <w:pPr>
        <w:rPr>
          <w:lang w:val="es-MX"/>
        </w:rPr>
      </w:pPr>
      <w:r w:rsidRPr="009F712E">
        <w:rPr>
          <w:rFonts w:ascii="Century Gothic" w:hAnsi="Century Gothic"/>
          <w:noProof/>
          <w:lang w:val="es-MX" w:eastAsia="es-MX"/>
        </w:rPr>
        <w:drawing>
          <wp:anchor distT="0" distB="0" distL="114300" distR="114300" simplePos="0" relativeHeight="251756544" behindDoc="1" locked="0" layoutInCell="1" allowOverlap="1" wp14:anchorId="1C2C95CC" wp14:editId="0E472AFC">
            <wp:simplePos x="0" y="0"/>
            <wp:positionH relativeFrom="margin">
              <wp:align>center</wp:align>
            </wp:positionH>
            <wp:positionV relativeFrom="paragraph">
              <wp:posOffset>6350</wp:posOffset>
            </wp:positionV>
            <wp:extent cx="2596353" cy="1360681"/>
            <wp:effectExtent l="0" t="0" r="0" b="0"/>
            <wp:wrapNone/>
            <wp:docPr id="14" name="Imagen 14" descr="C:\Users\armando.navarro\Desktop\Logo nuevo\Sistema Logotipo Gob Monterre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ndo.navarro\Desktop\Logo nuevo\Sistema Logotipo Gob Monterrey-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6353" cy="13606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25D6" w:rsidRPr="0050035B" w:rsidRDefault="003A25D6">
      <w:pPr>
        <w:rPr>
          <w:lang w:val="es-MX"/>
        </w:rPr>
      </w:pPr>
    </w:p>
    <w:p w:rsidR="003A25D6" w:rsidRPr="0050035B" w:rsidRDefault="003A25D6">
      <w:pPr>
        <w:rPr>
          <w:lang w:val="es-MX"/>
        </w:rPr>
      </w:pPr>
    </w:p>
    <w:p w:rsidR="003A25D6" w:rsidRPr="0050035B" w:rsidRDefault="003A25D6">
      <w:pPr>
        <w:rPr>
          <w:lang w:val="es-MX"/>
        </w:rPr>
      </w:pPr>
    </w:p>
    <w:p w:rsidR="003A25D6" w:rsidRPr="0050035B" w:rsidRDefault="003A25D6">
      <w:pPr>
        <w:rPr>
          <w:lang w:val="es-MX"/>
        </w:rPr>
      </w:pPr>
    </w:p>
    <w:p w:rsidR="003A25D6" w:rsidRPr="0050035B" w:rsidRDefault="003A25D6">
      <w:pPr>
        <w:rPr>
          <w:lang w:val="es-MX"/>
        </w:rPr>
      </w:pPr>
    </w:p>
    <w:p w:rsidR="003A25D6" w:rsidRPr="0050035B" w:rsidRDefault="003A25D6">
      <w:pPr>
        <w:rPr>
          <w:lang w:val="es-MX"/>
        </w:rPr>
      </w:pPr>
    </w:p>
    <w:p w:rsidR="003A25D6" w:rsidRPr="0050035B" w:rsidRDefault="003A25D6">
      <w:pPr>
        <w:rPr>
          <w:lang w:val="es-MX"/>
        </w:rPr>
      </w:pPr>
    </w:p>
    <w:p w:rsidR="001B11C7" w:rsidRPr="0050035B" w:rsidRDefault="001B11C7" w:rsidP="001B11C7">
      <w:pPr>
        <w:spacing w:line="360" w:lineRule="auto"/>
        <w:jc w:val="center"/>
        <w:rPr>
          <w:rFonts w:ascii="Century Gothic" w:hAnsi="Century Gothic"/>
          <w:b/>
          <w:lang w:val="es-MX"/>
        </w:rPr>
      </w:pPr>
    </w:p>
    <w:p w:rsidR="001B11C7" w:rsidRPr="0050035B" w:rsidRDefault="001B11C7" w:rsidP="001B11C7">
      <w:pPr>
        <w:spacing w:line="360" w:lineRule="auto"/>
        <w:jc w:val="center"/>
        <w:rPr>
          <w:rFonts w:ascii="Century Gothic" w:hAnsi="Century Gothic"/>
          <w:b/>
          <w:lang w:val="es-MX"/>
        </w:rPr>
      </w:pPr>
    </w:p>
    <w:p w:rsidR="001B11C7" w:rsidRPr="0050035B" w:rsidRDefault="001B11C7" w:rsidP="001B11C7">
      <w:pPr>
        <w:spacing w:line="360" w:lineRule="auto"/>
        <w:jc w:val="center"/>
        <w:rPr>
          <w:rFonts w:ascii="Century Gothic" w:hAnsi="Century Gothic"/>
          <w:b/>
          <w:lang w:val="es-MX"/>
        </w:rPr>
      </w:pPr>
    </w:p>
    <w:p w:rsidR="001B11C7" w:rsidRPr="0050035B" w:rsidRDefault="001B11C7" w:rsidP="001B11C7">
      <w:pPr>
        <w:spacing w:line="360" w:lineRule="auto"/>
        <w:jc w:val="center"/>
        <w:rPr>
          <w:rFonts w:ascii="Century Gothic" w:hAnsi="Century Gothic"/>
          <w:b/>
          <w:lang w:val="es-MX"/>
        </w:rPr>
      </w:pPr>
    </w:p>
    <w:p w:rsidR="001B11C7" w:rsidRPr="0050035B" w:rsidRDefault="001B11C7" w:rsidP="001B11C7">
      <w:pPr>
        <w:spacing w:line="360" w:lineRule="auto"/>
        <w:jc w:val="center"/>
        <w:rPr>
          <w:rFonts w:ascii="Century Gothic" w:hAnsi="Century Gothic"/>
          <w:b/>
          <w:lang w:val="es-MX"/>
        </w:rPr>
      </w:pPr>
    </w:p>
    <w:p w:rsidR="007536C1" w:rsidRPr="0050035B" w:rsidRDefault="007536C1" w:rsidP="00D23FC6">
      <w:pPr>
        <w:spacing w:line="360" w:lineRule="auto"/>
        <w:jc w:val="center"/>
        <w:rPr>
          <w:rFonts w:ascii="Montserrat" w:hAnsi="Montserrat"/>
          <w:b/>
          <w:sz w:val="32"/>
          <w:lang w:val="es-MX"/>
        </w:rPr>
      </w:pPr>
      <w:r w:rsidRPr="0050035B">
        <w:rPr>
          <w:rFonts w:ascii="Montserrat" w:hAnsi="Montserrat"/>
          <w:b/>
          <w:sz w:val="32"/>
          <w:lang w:val="es-MX"/>
        </w:rPr>
        <w:t>PROYECTO DE PRESUPUESTO</w:t>
      </w:r>
      <w:r w:rsidR="00D23FC6" w:rsidRPr="0050035B">
        <w:rPr>
          <w:rStyle w:val="Refdenotaalpie"/>
          <w:rFonts w:ascii="Montserrat" w:hAnsi="Montserrat"/>
          <w:b/>
          <w:sz w:val="32"/>
          <w:lang w:val="es-MX"/>
        </w:rPr>
        <w:footnoteReference w:id="1"/>
      </w:r>
      <w:r w:rsidRPr="0050035B">
        <w:rPr>
          <w:rFonts w:ascii="Montserrat" w:hAnsi="Montserrat"/>
          <w:b/>
          <w:sz w:val="32"/>
          <w:lang w:val="es-MX"/>
        </w:rPr>
        <w:t xml:space="preserve"> DE INGRESOS </w:t>
      </w:r>
    </w:p>
    <w:p w:rsidR="00D23FC6" w:rsidRPr="0050035B" w:rsidRDefault="007536C1" w:rsidP="00D23FC6">
      <w:pPr>
        <w:spacing w:line="360" w:lineRule="auto"/>
        <w:jc w:val="center"/>
        <w:rPr>
          <w:rFonts w:ascii="Montserrat" w:hAnsi="Montserrat"/>
          <w:b/>
          <w:sz w:val="32"/>
          <w:lang w:val="es-MX"/>
        </w:rPr>
      </w:pPr>
      <w:r w:rsidRPr="0050035B">
        <w:rPr>
          <w:rFonts w:ascii="Montserrat" w:hAnsi="Montserrat"/>
          <w:b/>
          <w:sz w:val="32"/>
          <w:lang w:val="es-MX"/>
        </w:rPr>
        <w:t>PARA EL EJERCICIO FISCAL 202</w:t>
      </w:r>
      <w:r w:rsidR="007A7EE3" w:rsidRPr="0050035B">
        <w:rPr>
          <w:rFonts w:ascii="Montserrat" w:hAnsi="Montserrat"/>
          <w:b/>
          <w:sz w:val="32"/>
          <w:lang w:val="es-MX"/>
        </w:rPr>
        <w:t>2</w:t>
      </w:r>
    </w:p>
    <w:p w:rsidR="001B11C7" w:rsidRPr="0050035B" w:rsidRDefault="007536C1" w:rsidP="00992695">
      <w:pPr>
        <w:spacing w:line="360" w:lineRule="auto"/>
        <w:jc w:val="center"/>
        <w:rPr>
          <w:rFonts w:ascii="Montserrat" w:hAnsi="Montserrat"/>
          <w:b/>
          <w:sz w:val="32"/>
          <w:lang w:val="es-MX"/>
        </w:rPr>
      </w:pPr>
      <w:r w:rsidRPr="0050035B">
        <w:rPr>
          <w:rFonts w:ascii="Montserrat" w:hAnsi="Montserrat"/>
          <w:b/>
          <w:sz w:val="32"/>
          <w:lang w:val="es-MX"/>
        </w:rPr>
        <w:t>MUNICIPIO DE MONTERREY, NUEVO LEÓN</w:t>
      </w:r>
    </w:p>
    <w:p w:rsidR="001B11C7" w:rsidRPr="0050035B" w:rsidRDefault="001B11C7" w:rsidP="001B11C7">
      <w:pPr>
        <w:spacing w:line="360" w:lineRule="auto"/>
        <w:jc w:val="center"/>
        <w:rPr>
          <w:rFonts w:ascii="Century Gothic" w:hAnsi="Century Gothic"/>
          <w:b/>
          <w:lang w:val="es-MX"/>
        </w:rPr>
      </w:pPr>
    </w:p>
    <w:p w:rsidR="001B11C7" w:rsidRPr="0050035B" w:rsidRDefault="001B11C7" w:rsidP="001B11C7">
      <w:pPr>
        <w:spacing w:line="360" w:lineRule="auto"/>
        <w:jc w:val="center"/>
        <w:rPr>
          <w:rFonts w:ascii="Century Gothic" w:hAnsi="Century Gothic"/>
          <w:b/>
          <w:lang w:val="es-MX"/>
        </w:rPr>
      </w:pPr>
    </w:p>
    <w:p w:rsidR="001B11C7" w:rsidRPr="0050035B" w:rsidRDefault="001B11C7" w:rsidP="001B11C7">
      <w:pPr>
        <w:spacing w:line="360" w:lineRule="auto"/>
        <w:jc w:val="center"/>
        <w:rPr>
          <w:rFonts w:ascii="Century Gothic" w:hAnsi="Century Gothic"/>
          <w:b/>
          <w:lang w:val="es-MX"/>
        </w:rPr>
      </w:pPr>
    </w:p>
    <w:p w:rsidR="001B11C7" w:rsidRPr="0050035B" w:rsidRDefault="001B11C7" w:rsidP="001B11C7">
      <w:pPr>
        <w:spacing w:line="360" w:lineRule="auto"/>
        <w:jc w:val="center"/>
        <w:rPr>
          <w:rFonts w:ascii="Century Gothic" w:hAnsi="Century Gothic"/>
          <w:b/>
          <w:lang w:val="es-MX"/>
        </w:rPr>
      </w:pPr>
    </w:p>
    <w:p w:rsidR="001B11C7" w:rsidRPr="0050035B" w:rsidRDefault="001B11C7" w:rsidP="001B11C7">
      <w:pPr>
        <w:spacing w:line="360" w:lineRule="auto"/>
        <w:jc w:val="center"/>
        <w:rPr>
          <w:rFonts w:ascii="Century Gothic" w:hAnsi="Century Gothic"/>
          <w:b/>
          <w:lang w:val="es-MX"/>
        </w:rPr>
      </w:pPr>
    </w:p>
    <w:p w:rsidR="001B11C7" w:rsidRPr="0050035B" w:rsidRDefault="001B11C7" w:rsidP="001B11C7">
      <w:pPr>
        <w:spacing w:line="360" w:lineRule="auto"/>
        <w:jc w:val="center"/>
        <w:rPr>
          <w:rFonts w:ascii="Century Gothic" w:hAnsi="Century Gothic"/>
          <w:b/>
          <w:lang w:val="es-MX"/>
        </w:rPr>
      </w:pPr>
    </w:p>
    <w:p w:rsidR="001B11C7" w:rsidRPr="0050035B" w:rsidRDefault="001B11C7" w:rsidP="001B11C7">
      <w:pPr>
        <w:spacing w:line="360" w:lineRule="auto"/>
        <w:jc w:val="center"/>
        <w:rPr>
          <w:rFonts w:ascii="Century Gothic" w:hAnsi="Century Gothic"/>
          <w:b/>
          <w:lang w:val="es-MX"/>
        </w:rPr>
      </w:pPr>
    </w:p>
    <w:p w:rsidR="001B11C7" w:rsidRPr="0050035B" w:rsidRDefault="001B11C7" w:rsidP="001B11C7">
      <w:pPr>
        <w:spacing w:line="360" w:lineRule="auto"/>
        <w:jc w:val="center"/>
        <w:rPr>
          <w:rFonts w:ascii="Century Gothic" w:hAnsi="Century Gothic"/>
          <w:b/>
          <w:lang w:val="es-MX"/>
        </w:rPr>
      </w:pPr>
    </w:p>
    <w:p w:rsidR="001B11C7" w:rsidRPr="0050035B" w:rsidRDefault="001B11C7" w:rsidP="001B11C7">
      <w:pPr>
        <w:spacing w:line="360" w:lineRule="auto"/>
        <w:jc w:val="center"/>
        <w:rPr>
          <w:rFonts w:ascii="Century Gothic" w:hAnsi="Century Gothic"/>
          <w:b/>
          <w:lang w:val="es-MX"/>
        </w:rPr>
      </w:pPr>
    </w:p>
    <w:p w:rsidR="00C6669D" w:rsidRPr="0050035B" w:rsidRDefault="00A30A24" w:rsidP="005D38BC">
      <w:pPr>
        <w:spacing w:line="360" w:lineRule="auto"/>
        <w:ind w:left="2880" w:firstLine="720"/>
        <w:rPr>
          <w:rFonts w:ascii="Montserrat" w:hAnsi="Montserrat"/>
          <w:b/>
          <w:lang w:val="es-MX"/>
        </w:rPr>
      </w:pPr>
      <w:r w:rsidRPr="0050035B">
        <w:rPr>
          <w:rFonts w:ascii="Montserrat" w:hAnsi="Montserrat"/>
          <w:b/>
          <w:lang w:val="es-MX"/>
        </w:rPr>
        <w:t>Noviembre</w:t>
      </w:r>
      <w:r w:rsidR="00AB3A16" w:rsidRPr="0050035B">
        <w:rPr>
          <w:rFonts w:ascii="Montserrat" w:hAnsi="Montserrat"/>
          <w:b/>
          <w:lang w:val="es-MX"/>
        </w:rPr>
        <w:t>, 202</w:t>
      </w:r>
      <w:r w:rsidR="00375675" w:rsidRPr="0050035B">
        <w:rPr>
          <w:rFonts w:ascii="Montserrat" w:hAnsi="Montserrat"/>
          <w:b/>
          <w:lang w:val="es-MX"/>
        </w:rPr>
        <w:t>1</w:t>
      </w:r>
    </w:p>
    <w:p w:rsidR="008F75E4" w:rsidRPr="0050035B" w:rsidRDefault="008F75E4" w:rsidP="00453DB9">
      <w:pPr>
        <w:spacing w:line="276" w:lineRule="auto"/>
        <w:jc w:val="center"/>
        <w:rPr>
          <w:rFonts w:ascii="Century Gothic" w:hAnsi="Century Gothic"/>
          <w:b/>
          <w:lang w:val="es-MX"/>
        </w:rPr>
      </w:pPr>
      <w:r w:rsidRPr="0050035B">
        <w:rPr>
          <w:rFonts w:ascii="Century Gothic" w:hAnsi="Century Gothic"/>
          <w:b/>
          <w:lang w:val="es-MX"/>
        </w:rPr>
        <w:br w:type="page"/>
      </w:r>
    </w:p>
    <w:p w:rsidR="00DB26DD" w:rsidRPr="0050035B" w:rsidRDefault="003213CF" w:rsidP="00453DB9">
      <w:pPr>
        <w:spacing w:line="276" w:lineRule="auto"/>
        <w:jc w:val="center"/>
        <w:rPr>
          <w:rFonts w:ascii="Century Gothic" w:hAnsi="Century Gothic"/>
          <w:b/>
          <w:lang w:val="es-MX"/>
        </w:rPr>
      </w:pPr>
      <w:r w:rsidRPr="0050035B">
        <w:rPr>
          <w:rFonts w:ascii="Century Gothic" w:hAnsi="Century Gothic"/>
          <w:b/>
          <w:lang w:val="es-MX"/>
        </w:rPr>
        <w:lastRenderedPageBreak/>
        <w:t>ÍNDICE</w:t>
      </w:r>
    </w:p>
    <w:tbl>
      <w:tblPr>
        <w:tblStyle w:val="Tablaconcuadrcula"/>
        <w:tblW w:w="0" w:type="auto"/>
        <w:jc w:val="center"/>
        <w:tblLook w:val="04A0" w:firstRow="1" w:lastRow="0" w:firstColumn="1" w:lastColumn="0" w:noHBand="0" w:noVBand="1"/>
      </w:tblPr>
      <w:tblGrid>
        <w:gridCol w:w="7248"/>
        <w:gridCol w:w="1557"/>
      </w:tblGrid>
      <w:tr w:rsidR="00DB26DD" w:rsidRPr="0050035B" w:rsidTr="00D07B7F">
        <w:trPr>
          <w:trHeight w:val="459"/>
          <w:jc w:val="center"/>
        </w:trPr>
        <w:tc>
          <w:tcPr>
            <w:tcW w:w="7248" w:type="dxa"/>
          </w:tcPr>
          <w:p w:rsidR="00DB26DD" w:rsidRPr="0050035B" w:rsidRDefault="00DB26DD" w:rsidP="009A7BCA">
            <w:pPr>
              <w:rPr>
                <w:rFonts w:ascii="Maiandra GD" w:hAnsi="Maiandra GD" w:cs="Segoe UI Semilight"/>
                <w:sz w:val="21"/>
                <w:szCs w:val="21"/>
              </w:rPr>
            </w:pPr>
            <w:r w:rsidRPr="0050035B">
              <w:rPr>
                <w:rFonts w:ascii="Century Gothic" w:hAnsi="Century Gothic"/>
                <w:sz w:val="21"/>
                <w:szCs w:val="21"/>
              </w:rPr>
              <w:t>Presentación</w:t>
            </w:r>
          </w:p>
        </w:tc>
        <w:tc>
          <w:tcPr>
            <w:tcW w:w="1557" w:type="dxa"/>
            <w:vAlign w:val="center"/>
          </w:tcPr>
          <w:p w:rsidR="00DB26DD" w:rsidRPr="00F11A32" w:rsidRDefault="008B1438" w:rsidP="00D07B7F">
            <w:pPr>
              <w:spacing w:line="276" w:lineRule="auto"/>
              <w:jc w:val="center"/>
              <w:rPr>
                <w:rFonts w:ascii="Century Gothic" w:hAnsi="Century Gothic" w:cs="Segoe UI Semilight"/>
                <w:sz w:val="21"/>
                <w:szCs w:val="21"/>
              </w:rPr>
            </w:pPr>
            <w:r w:rsidRPr="00F11A32">
              <w:rPr>
                <w:rFonts w:ascii="Century Gothic" w:hAnsi="Century Gothic" w:cs="Segoe UI Semilight"/>
                <w:sz w:val="21"/>
                <w:szCs w:val="21"/>
              </w:rPr>
              <w:t>6</w:t>
            </w:r>
          </w:p>
        </w:tc>
      </w:tr>
      <w:tr w:rsidR="00DB26DD" w:rsidRPr="0050035B" w:rsidTr="00D07B7F">
        <w:trPr>
          <w:trHeight w:val="459"/>
          <w:jc w:val="center"/>
        </w:trPr>
        <w:tc>
          <w:tcPr>
            <w:tcW w:w="7248" w:type="dxa"/>
          </w:tcPr>
          <w:p w:rsidR="00DB26DD" w:rsidRPr="0050035B" w:rsidRDefault="008C0CFE" w:rsidP="009A7BCA">
            <w:pPr>
              <w:rPr>
                <w:rFonts w:ascii="Maiandra GD" w:hAnsi="Maiandra GD" w:cs="Segoe UI Semilight"/>
                <w:sz w:val="21"/>
                <w:szCs w:val="21"/>
              </w:rPr>
            </w:pPr>
            <w:r w:rsidRPr="0050035B">
              <w:rPr>
                <w:rFonts w:ascii="Century Gothic" w:hAnsi="Century Gothic"/>
                <w:b/>
                <w:sz w:val="21"/>
                <w:szCs w:val="21"/>
              </w:rPr>
              <w:t>1</w:t>
            </w:r>
            <w:r w:rsidR="00DB26DD" w:rsidRPr="0050035B">
              <w:rPr>
                <w:rFonts w:ascii="Century Gothic" w:hAnsi="Century Gothic"/>
                <w:b/>
                <w:sz w:val="21"/>
                <w:szCs w:val="21"/>
              </w:rPr>
              <w:t>. Marco Normativo</w:t>
            </w:r>
          </w:p>
        </w:tc>
        <w:tc>
          <w:tcPr>
            <w:tcW w:w="1557" w:type="dxa"/>
            <w:vAlign w:val="center"/>
          </w:tcPr>
          <w:p w:rsidR="00DB26DD" w:rsidRPr="00F11A32" w:rsidRDefault="008B1438" w:rsidP="00D07B7F">
            <w:pPr>
              <w:spacing w:line="276" w:lineRule="auto"/>
              <w:jc w:val="center"/>
              <w:rPr>
                <w:rFonts w:ascii="Century Gothic" w:hAnsi="Century Gothic" w:cs="Segoe UI Semilight"/>
                <w:b/>
                <w:sz w:val="21"/>
                <w:szCs w:val="21"/>
              </w:rPr>
            </w:pPr>
            <w:r w:rsidRPr="00F11A32">
              <w:rPr>
                <w:rFonts w:ascii="Century Gothic" w:hAnsi="Century Gothic" w:cs="Segoe UI Semilight"/>
                <w:b/>
                <w:sz w:val="21"/>
                <w:szCs w:val="21"/>
              </w:rPr>
              <w:t>9</w:t>
            </w:r>
          </w:p>
        </w:tc>
      </w:tr>
      <w:tr w:rsidR="00DB26DD" w:rsidRPr="0050035B" w:rsidTr="00D07B7F">
        <w:trPr>
          <w:trHeight w:val="459"/>
          <w:jc w:val="center"/>
        </w:trPr>
        <w:tc>
          <w:tcPr>
            <w:tcW w:w="7248" w:type="dxa"/>
          </w:tcPr>
          <w:p w:rsidR="00DB26DD" w:rsidRPr="0050035B" w:rsidRDefault="0041257E" w:rsidP="009F712E">
            <w:pPr>
              <w:jc w:val="both"/>
              <w:rPr>
                <w:rFonts w:ascii="Century Gothic" w:hAnsi="Century Gothic"/>
                <w:sz w:val="21"/>
                <w:szCs w:val="21"/>
              </w:rPr>
            </w:pPr>
            <w:r w:rsidRPr="0050035B">
              <w:rPr>
                <w:rFonts w:ascii="Century Gothic" w:hAnsi="Century Gothic"/>
                <w:sz w:val="21"/>
                <w:szCs w:val="21"/>
              </w:rPr>
              <w:t>1.1</w:t>
            </w:r>
            <w:r w:rsidR="000D24A0" w:rsidRPr="0050035B">
              <w:rPr>
                <w:rFonts w:ascii="Century Gothic" w:hAnsi="Century Gothic"/>
                <w:sz w:val="21"/>
                <w:szCs w:val="21"/>
              </w:rPr>
              <w:t>.</w:t>
            </w:r>
            <w:r w:rsidR="00DB26DD" w:rsidRPr="0050035B">
              <w:rPr>
                <w:rFonts w:ascii="Century Gothic" w:hAnsi="Century Gothic"/>
                <w:sz w:val="21"/>
                <w:szCs w:val="21"/>
              </w:rPr>
              <w:t xml:space="preserve"> </w:t>
            </w:r>
            <w:r w:rsidR="00C960F0" w:rsidRPr="0050035B">
              <w:rPr>
                <w:rFonts w:ascii="Century Gothic" w:hAnsi="Century Gothic"/>
                <w:sz w:val="21"/>
                <w:szCs w:val="21"/>
              </w:rPr>
              <w:t xml:space="preserve">Legislación </w:t>
            </w:r>
            <w:r w:rsidR="00DB26DD" w:rsidRPr="0050035B">
              <w:rPr>
                <w:rFonts w:ascii="Century Gothic" w:hAnsi="Century Gothic"/>
                <w:sz w:val="21"/>
                <w:szCs w:val="21"/>
              </w:rPr>
              <w:t>vigen</w:t>
            </w:r>
            <w:r w:rsidR="00E010BC" w:rsidRPr="0050035B">
              <w:rPr>
                <w:rFonts w:ascii="Century Gothic" w:hAnsi="Century Gothic"/>
                <w:sz w:val="21"/>
                <w:szCs w:val="21"/>
              </w:rPr>
              <w:t>te para el ejercicio fiscal 20</w:t>
            </w:r>
            <w:r w:rsidR="00BC7AD3" w:rsidRPr="0050035B">
              <w:rPr>
                <w:rFonts w:ascii="Century Gothic" w:hAnsi="Century Gothic"/>
                <w:sz w:val="21"/>
                <w:szCs w:val="21"/>
              </w:rPr>
              <w:t>2</w:t>
            </w:r>
            <w:r w:rsidR="009F712E">
              <w:rPr>
                <w:rFonts w:ascii="Century Gothic" w:hAnsi="Century Gothic"/>
                <w:sz w:val="21"/>
                <w:szCs w:val="21"/>
              </w:rPr>
              <w:t>2</w:t>
            </w:r>
          </w:p>
        </w:tc>
        <w:tc>
          <w:tcPr>
            <w:tcW w:w="1557" w:type="dxa"/>
            <w:vAlign w:val="center"/>
          </w:tcPr>
          <w:p w:rsidR="00DB26DD" w:rsidRPr="0050035B" w:rsidRDefault="008B1438" w:rsidP="00D07B7F">
            <w:pPr>
              <w:spacing w:line="276" w:lineRule="auto"/>
              <w:jc w:val="center"/>
              <w:rPr>
                <w:rFonts w:ascii="Century Gothic" w:hAnsi="Century Gothic" w:cs="Segoe UI Semilight"/>
                <w:sz w:val="21"/>
                <w:szCs w:val="21"/>
                <w:highlight w:val="yellow"/>
              </w:rPr>
            </w:pPr>
            <w:r w:rsidRPr="00F11A32">
              <w:rPr>
                <w:rFonts w:ascii="Century Gothic" w:hAnsi="Century Gothic" w:cs="Segoe UI Semilight"/>
                <w:sz w:val="21"/>
                <w:szCs w:val="21"/>
              </w:rPr>
              <w:t>9</w:t>
            </w:r>
          </w:p>
        </w:tc>
      </w:tr>
      <w:tr w:rsidR="00DB26DD" w:rsidRPr="0050035B" w:rsidTr="00F11A32">
        <w:trPr>
          <w:trHeight w:val="459"/>
          <w:jc w:val="center"/>
        </w:trPr>
        <w:tc>
          <w:tcPr>
            <w:tcW w:w="7248" w:type="dxa"/>
          </w:tcPr>
          <w:p w:rsidR="00DB26DD" w:rsidRPr="0050035B" w:rsidRDefault="0041257E" w:rsidP="009A7BCA">
            <w:pPr>
              <w:rPr>
                <w:rFonts w:ascii="Century Gothic" w:hAnsi="Century Gothic"/>
                <w:sz w:val="21"/>
                <w:szCs w:val="21"/>
              </w:rPr>
            </w:pPr>
            <w:r w:rsidRPr="0050035B">
              <w:rPr>
                <w:rFonts w:ascii="Century Gothic" w:hAnsi="Century Gothic"/>
                <w:sz w:val="21"/>
                <w:szCs w:val="21"/>
              </w:rPr>
              <w:t>1.2</w:t>
            </w:r>
            <w:r w:rsidR="000D24A0" w:rsidRPr="0050035B">
              <w:rPr>
                <w:rFonts w:ascii="Century Gothic" w:hAnsi="Century Gothic"/>
                <w:sz w:val="21"/>
                <w:szCs w:val="21"/>
              </w:rPr>
              <w:t>.</w:t>
            </w:r>
            <w:r w:rsidRPr="0050035B">
              <w:rPr>
                <w:rFonts w:ascii="Century Gothic" w:hAnsi="Century Gothic"/>
                <w:sz w:val="21"/>
                <w:szCs w:val="21"/>
              </w:rPr>
              <w:t xml:space="preserve"> </w:t>
            </w:r>
            <w:r w:rsidR="0045728C" w:rsidRPr="0050035B">
              <w:rPr>
                <w:rFonts w:ascii="Century Gothic" w:hAnsi="Century Gothic"/>
                <w:sz w:val="21"/>
                <w:szCs w:val="21"/>
              </w:rPr>
              <w:t xml:space="preserve">Principales </w:t>
            </w:r>
            <w:r w:rsidR="00106447" w:rsidRPr="0050035B">
              <w:rPr>
                <w:rFonts w:ascii="Century Gothic" w:hAnsi="Century Gothic"/>
                <w:sz w:val="21"/>
                <w:szCs w:val="21"/>
              </w:rPr>
              <w:t>dis</w:t>
            </w:r>
            <w:r w:rsidR="00C76666" w:rsidRPr="0050035B">
              <w:rPr>
                <w:rFonts w:ascii="Century Gothic" w:hAnsi="Century Gothic"/>
                <w:sz w:val="21"/>
                <w:szCs w:val="21"/>
              </w:rPr>
              <w:t>posiciones</w:t>
            </w:r>
            <w:r w:rsidR="00F17012" w:rsidRPr="0050035B">
              <w:rPr>
                <w:rFonts w:ascii="Century Gothic" w:hAnsi="Century Gothic"/>
                <w:sz w:val="21"/>
                <w:szCs w:val="21"/>
              </w:rPr>
              <w:t xml:space="preserve"> normativas aplicables</w:t>
            </w:r>
          </w:p>
        </w:tc>
        <w:tc>
          <w:tcPr>
            <w:tcW w:w="1557" w:type="dxa"/>
            <w:shd w:val="clear" w:color="auto" w:fill="auto"/>
            <w:vAlign w:val="center"/>
          </w:tcPr>
          <w:p w:rsidR="00DB26DD" w:rsidRPr="00F11A32" w:rsidRDefault="008B1438" w:rsidP="00D07B7F">
            <w:pPr>
              <w:spacing w:line="276" w:lineRule="auto"/>
              <w:jc w:val="center"/>
              <w:rPr>
                <w:rFonts w:ascii="Century Gothic" w:hAnsi="Century Gothic" w:cs="Segoe UI Semilight"/>
                <w:sz w:val="21"/>
                <w:szCs w:val="21"/>
              </w:rPr>
            </w:pPr>
            <w:r w:rsidRPr="00F11A32">
              <w:rPr>
                <w:rFonts w:ascii="Century Gothic" w:hAnsi="Century Gothic" w:cs="Segoe UI Semilight"/>
                <w:sz w:val="21"/>
                <w:szCs w:val="21"/>
              </w:rPr>
              <w:t>11</w:t>
            </w:r>
          </w:p>
        </w:tc>
      </w:tr>
      <w:tr w:rsidR="00E57022" w:rsidRPr="0050035B" w:rsidTr="00F11A32">
        <w:trPr>
          <w:trHeight w:val="459"/>
          <w:jc w:val="center"/>
        </w:trPr>
        <w:tc>
          <w:tcPr>
            <w:tcW w:w="7248" w:type="dxa"/>
          </w:tcPr>
          <w:p w:rsidR="00E57022" w:rsidRPr="0050035B" w:rsidRDefault="00E57022" w:rsidP="00E57022">
            <w:pPr>
              <w:ind w:left="720"/>
              <w:rPr>
                <w:rFonts w:ascii="Century Gothic" w:hAnsi="Century Gothic"/>
                <w:sz w:val="21"/>
                <w:szCs w:val="21"/>
              </w:rPr>
            </w:pPr>
            <w:r w:rsidRPr="0050035B">
              <w:rPr>
                <w:rFonts w:ascii="Century Gothic" w:hAnsi="Century Gothic"/>
                <w:sz w:val="21"/>
                <w:szCs w:val="21"/>
              </w:rPr>
              <w:t>1.2.1</w:t>
            </w:r>
            <w:r w:rsidR="000D24A0" w:rsidRPr="0050035B">
              <w:rPr>
                <w:rFonts w:ascii="Century Gothic" w:hAnsi="Century Gothic"/>
                <w:sz w:val="21"/>
                <w:szCs w:val="21"/>
              </w:rPr>
              <w:t>.</w:t>
            </w:r>
            <w:r w:rsidRPr="0050035B">
              <w:rPr>
                <w:rFonts w:ascii="Century Gothic" w:hAnsi="Century Gothic"/>
                <w:sz w:val="21"/>
                <w:szCs w:val="21"/>
              </w:rPr>
              <w:t xml:space="preserve"> Constitución Política de los Estados Unidos Mexicanos</w:t>
            </w:r>
          </w:p>
        </w:tc>
        <w:tc>
          <w:tcPr>
            <w:tcW w:w="1557" w:type="dxa"/>
            <w:shd w:val="clear" w:color="auto" w:fill="auto"/>
            <w:vAlign w:val="center"/>
          </w:tcPr>
          <w:p w:rsidR="00E57022" w:rsidRPr="00F11A32" w:rsidRDefault="008B1438" w:rsidP="00D07B7F">
            <w:pPr>
              <w:spacing w:line="276" w:lineRule="auto"/>
              <w:jc w:val="center"/>
              <w:rPr>
                <w:rFonts w:ascii="Century Gothic" w:hAnsi="Century Gothic" w:cs="Segoe UI Semilight"/>
                <w:sz w:val="21"/>
                <w:szCs w:val="21"/>
              </w:rPr>
            </w:pPr>
            <w:r w:rsidRPr="00F11A32">
              <w:rPr>
                <w:rFonts w:ascii="Century Gothic" w:hAnsi="Century Gothic" w:cs="Segoe UI Semilight"/>
                <w:sz w:val="21"/>
                <w:szCs w:val="21"/>
              </w:rPr>
              <w:t>11</w:t>
            </w:r>
          </w:p>
        </w:tc>
      </w:tr>
      <w:tr w:rsidR="004229C5" w:rsidRPr="0050035B" w:rsidTr="00F11A32">
        <w:trPr>
          <w:trHeight w:val="459"/>
          <w:jc w:val="center"/>
        </w:trPr>
        <w:tc>
          <w:tcPr>
            <w:tcW w:w="7248" w:type="dxa"/>
          </w:tcPr>
          <w:p w:rsidR="004229C5" w:rsidRPr="0050035B" w:rsidRDefault="00B82F85" w:rsidP="004229C5">
            <w:pPr>
              <w:ind w:left="720"/>
              <w:rPr>
                <w:rFonts w:ascii="Century Gothic" w:hAnsi="Century Gothic"/>
                <w:sz w:val="21"/>
                <w:szCs w:val="21"/>
              </w:rPr>
            </w:pPr>
            <w:r w:rsidRPr="0050035B">
              <w:rPr>
                <w:rFonts w:ascii="Century Gothic" w:hAnsi="Century Gothic"/>
                <w:sz w:val="21"/>
                <w:szCs w:val="21"/>
              </w:rPr>
              <w:t>1.2.2</w:t>
            </w:r>
            <w:r w:rsidR="000D24A0" w:rsidRPr="0050035B">
              <w:rPr>
                <w:rFonts w:ascii="Century Gothic" w:hAnsi="Century Gothic"/>
                <w:sz w:val="21"/>
                <w:szCs w:val="21"/>
              </w:rPr>
              <w:t>.</w:t>
            </w:r>
            <w:r w:rsidR="004229C5" w:rsidRPr="0050035B">
              <w:rPr>
                <w:rFonts w:ascii="Century Gothic" w:hAnsi="Century Gothic"/>
                <w:sz w:val="21"/>
                <w:szCs w:val="21"/>
              </w:rPr>
              <w:t xml:space="preserve"> Ley de Coordinación Fiscal</w:t>
            </w:r>
          </w:p>
        </w:tc>
        <w:tc>
          <w:tcPr>
            <w:tcW w:w="1557" w:type="dxa"/>
            <w:shd w:val="clear" w:color="auto" w:fill="auto"/>
            <w:vAlign w:val="center"/>
          </w:tcPr>
          <w:p w:rsidR="004229C5" w:rsidRPr="00F11A32" w:rsidRDefault="008B1438" w:rsidP="00E92294">
            <w:pPr>
              <w:spacing w:line="276" w:lineRule="auto"/>
              <w:jc w:val="center"/>
              <w:rPr>
                <w:rFonts w:ascii="Century Gothic" w:hAnsi="Century Gothic" w:cs="Segoe UI Semilight"/>
                <w:sz w:val="21"/>
                <w:szCs w:val="21"/>
              </w:rPr>
            </w:pPr>
            <w:r w:rsidRPr="00F11A32">
              <w:rPr>
                <w:rFonts w:ascii="Century Gothic" w:hAnsi="Century Gothic" w:cs="Segoe UI Semilight"/>
                <w:sz w:val="21"/>
                <w:szCs w:val="21"/>
              </w:rPr>
              <w:t>11</w:t>
            </w:r>
          </w:p>
        </w:tc>
      </w:tr>
      <w:tr w:rsidR="004229C5" w:rsidRPr="0050035B" w:rsidTr="00D07B7F">
        <w:trPr>
          <w:trHeight w:val="459"/>
          <w:jc w:val="center"/>
        </w:trPr>
        <w:tc>
          <w:tcPr>
            <w:tcW w:w="7248" w:type="dxa"/>
          </w:tcPr>
          <w:p w:rsidR="004229C5" w:rsidRPr="0050035B" w:rsidRDefault="00B82F85" w:rsidP="00A55428">
            <w:pPr>
              <w:ind w:left="720"/>
              <w:rPr>
                <w:rFonts w:ascii="Century Gothic" w:hAnsi="Century Gothic"/>
                <w:sz w:val="21"/>
                <w:szCs w:val="21"/>
              </w:rPr>
            </w:pPr>
            <w:r w:rsidRPr="0050035B">
              <w:rPr>
                <w:rFonts w:ascii="Century Gothic" w:hAnsi="Century Gothic"/>
                <w:sz w:val="21"/>
                <w:szCs w:val="21"/>
              </w:rPr>
              <w:t>1.2.3</w:t>
            </w:r>
            <w:r w:rsidR="000D24A0" w:rsidRPr="0050035B">
              <w:rPr>
                <w:rFonts w:ascii="Century Gothic" w:hAnsi="Century Gothic"/>
                <w:sz w:val="21"/>
                <w:szCs w:val="21"/>
              </w:rPr>
              <w:t>.</w:t>
            </w:r>
            <w:r w:rsidR="004229C5" w:rsidRPr="0050035B">
              <w:rPr>
                <w:rFonts w:ascii="Century Gothic" w:hAnsi="Century Gothic"/>
                <w:sz w:val="21"/>
                <w:szCs w:val="21"/>
              </w:rPr>
              <w:t xml:space="preserve"> Ley de Disciplina Financiera </w:t>
            </w:r>
            <w:r w:rsidR="00A55428" w:rsidRPr="0050035B">
              <w:rPr>
                <w:rFonts w:ascii="Century Gothic" w:hAnsi="Century Gothic"/>
                <w:sz w:val="21"/>
                <w:szCs w:val="21"/>
              </w:rPr>
              <w:t>de</w:t>
            </w:r>
            <w:r w:rsidR="004229C5" w:rsidRPr="0050035B">
              <w:rPr>
                <w:rFonts w:ascii="Century Gothic" w:hAnsi="Century Gothic"/>
                <w:sz w:val="21"/>
                <w:szCs w:val="21"/>
              </w:rPr>
              <w:t xml:space="preserve"> l</w:t>
            </w:r>
            <w:r w:rsidR="00724125" w:rsidRPr="0050035B">
              <w:rPr>
                <w:rFonts w:ascii="Century Gothic" w:hAnsi="Century Gothic"/>
                <w:sz w:val="21"/>
                <w:szCs w:val="21"/>
              </w:rPr>
              <w:t>a</w:t>
            </w:r>
            <w:r w:rsidR="004229C5" w:rsidRPr="0050035B">
              <w:rPr>
                <w:rFonts w:ascii="Century Gothic" w:hAnsi="Century Gothic"/>
                <w:sz w:val="21"/>
                <w:szCs w:val="21"/>
              </w:rPr>
              <w:t>s Entidades Federativas y los Municipios</w:t>
            </w:r>
          </w:p>
        </w:tc>
        <w:tc>
          <w:tcPr>
            <w:tcW w:w="1557" w:type="dxa"/>
            <w:vAlign w:val="center"/>
          </w:tcPr>
          <w:p w:rsidR="004229C5" w:rsidRPr="0050035B" w:rsidRDefault="008B1438" w:rsidP="00D07B7F">
            <w:pPr>
              <w:spacing w:line="276" w:lineRule="auto"/>
              <w:jc w:val="center"/>
              <w:rPr>
                <w:rFonts w:ascii="Century Gothic" w:hAnsi="Century Gothic" w:cs="Segoe UI Semilight"/>
                <w:sz w:val="21"/>
                <w:szCs w:val="21"/>
                <w:highlight w:val="yellow"/>
              </w:rPr>
            </w:pPr>
            <w:r w:rsidRPr="00F11A32">
              <w:rPr>
                <w:rFonts w:ascii="Century Gothic" w:hAnsi="Century Gothic" w:cs="Segoe UI Semilight"/>
                <w:sz w:val="21"/>
                <w:szCs w:val="21"/>
              </w:rPr>
              <w:t>13</w:t>
            </w:r>
          </w:p>
        </w:tc>
      </w:tr>
      <w:tr w:rsidR="004229C5" w:rsidRPr="0050035B" w:rsidTr="00D07B7F">
        <w:trPr>
          <w:trHeight w:val="459"/>
          <w:jc w:val="center"/>
        </w:trPr>
        <w:tc>
          <w:tcPr>
            <w:tcW w:w="7248" w:type="dxa"/>
          </w:tcPr>
          <w:p w:rsidR="004229C5" w:rsidRPr="00DB2B60" w:rsidRDefault="00B82F85" w:rsidP="00715658">
            <w:pPr>
              <w:ind w:left="720"/>
              <w:rPr>
                <w:rFonts w:ascii="Century Gothic" w:hAnsi="Century Gothic"/>
                <w:sz w:val="21"/>
                <w:szCs w:val="21"/>
              </w:rPr>
            </w:pPr>
            <w:r w:rsidRPr="00DB2B60">
              <w:rPr>
                <w:rFonts w:ascii="Century Gothic" w:hAnsi="Century Gothic"/>
                <w:sz w:val="21"/>
                <w:szCs w:val="21"/>
              </w:rPr>
              <w:t>1.2.4</w:t>
            </w:r>
            <w:r w:rsidR="000D24A0" w:rsidRPr="00DB2B60">
              <w:rPr>
                <w:rFonts w:ascii="Century Gothic" w:hAnsi="Century Gothic"/>
                <w:sz w:val="21"/>
                <w:szCs w:val="21"/>
              </w:rPr>
              <w:t>.</w:t>
            </w:r>
            <w:r w:rsidR="004229C5" w:rsidRPr="00DB2B60">
              <w:rPr>
                <w:rFonts w:ascii="Century Gothic" w:hAnsi="Century Gothic"/>
                <w:sz w:val="21"/>
                <w:szCs w:val="21"/>
              </w:rPr>
              <w:t xml:space="preserve"> Ley General de Contabilidad </w:t>
            </w:r>
            <w:r w:rsidR="00715658" w:rsidRPr="00DB2B60">
              <w:rPr>
                <w:rFonts w:ascii="Century Gothic" w:hAnsi="Century Gothic"/>
                <w:sz w:val="21"/>
                <w:szCs w:val="21"/>
              </w:rPr>
              <w:t xml:space="preserve">Gubernamental </w:t>
            </w:r>
          </w:p>
        </w:tc>
        <w:tc>
          <w:tcPr>
            <w:tcW w:w="1557" w:type="dxa"/>
            <w:vAlign w:val="center"/>
          </w:tcPr>
          <w:p w:rsidR="004229C5" w:rsidRPr="00DB2B60" w:rsidRDefault="00C17543" w:rsidP="00D07B7F">
            <w:pPr>
              <w:spacing w:line="276" w:lineRule="auto"/>
              <w:jc w:val="center"/>
              <w:rPr>
                <w:rFonts w:ascii="Century Gothic" w:hAnsi="Century Gothic" w:cs="Segoe UI Semilight"/>
                <w:sz w:val="21"/>
                <w:szCs w:val="21"/>
              </w:rPr>
            </w:pPr>
            <w:r>
              <w:rPr>
                <w:rFonts w:ascii="Century Gothic" w:hAnsi="Century Gothic" w:cs="Segoe UI Semilight"/>
                <w:sz w:val="21"/>
                <w:szCs w:val="21"/>
              </w:rPr>
              <w:t>20</w:t>
            </w:r>
          </w:p>
        </w:tc>
      </w:tr>
      <w:tr w:rsidR="00715658" w:rsidRPr="0050035B" w:rsidTr="00D07B7F">
        <w:trPr>
          <w:trHeight w:val="459"/>
          <w:jc w:val="center"/>
        </w:trPr>
        <w:tc>
          <w:tcPr>
            <w:tcW w:w="7248" w:type="dxa"/>
          </w:tcPr>
          <w:p w:rsidR="00715658" w:rsidRPr="0050035B" w:rsidRDefault="00B82F85" w:rsidP="00715658">
            <w:pPr>
              <w:ind w:left="720"/>
              <w:rPr>
                <w:rFonts w:ascii="Century Gothic" w:hAnsi="Century Gothic"/>
                <w:sz w:val="21"/>
                <w:szCs w:val="21"/>
              </w:rPr>
            </w:pPr>
            <w:r w:rsidRPr="0050035B">
              <w:rPr>
                <w:rFonts w:ascii="Century Gothic" w:hAnsi="Century Gothic"/>
                <w:sz w:val="21"/>
                <w:szCs w:val="21"/>
              </w:rPr>
              <w:t>1.2.5</w:t>
            </w:r>
            <w:r w:rsidR="000D24A0" w:rsidRPr="0050035B">
              <w:rPr>
                <w:rFonts w:ascii="Century Gothic" w:hAnsi="Century Gothic"/>
                <w:sz w:val="21"/>
                <w:szCs w:val="21"/>
              </w:rPr>
              <w:t>.</w:t>
            </w:r>
            <w:r w:rsidR="00715658" w:rsidRPr="0050035B">
              <w:rPr>
                <w:rFonts w:ascii="Century Gothic" w:hAnsi="Century Gothic"/>
                <w:sz w:val="21"/>
                <w:szCs w:val="21"/>
              </w:rPr>
              <w:t xml:space="preserve"> Norma para armonizar la presentación de la información adicional a la iniciativa de la Ley de Ingresos</w:t>
            </w:r>
          </w:p>
        </w:tc>
        <w:tc>
          <w:tcPr>
            <w:tcW w:w="1557" w:type="dxa"/>
            <w:vAlign w:val="center"/>
          </w:tcPr>
          <w:p w:rsidR="00715658" w:rsidRPr="00C17543" w:rsidRDefault="00C17543" w:rsidP="00E92294">
            <w:pPr>
              <w:spacing w:line="276" w:lineRule="auto"/>
              <w:jc w:val="center"/>
              <w:rPr>
                <w:rFonts w:ascii="Century Gothic" w:hAnsi="Century Gothic" w:cs="Segoe UI Semilight"/>
                <w:sz w:val="21"/>
                <w:szCs w:val="21"/>
              </w:rPr>
            </w:pPr>
            <w:r w:rsidRPr="00C17543">
              <w:rPr>
                <w:rFonts w:ascii="Century Gothic" w:hAnsi="Century Gothic" w:cs="Segoe UI Semilight"/>
                <w:sz w:val="21"/>
                <w:szCs w:val="21"/>
              </w:rPr>
              <w:t>21</w:t>
            </w:r>
          </w:p>
        </w:tc>
      </w:tr>
      <w:tr w:rsidR="00715658" w:rsidRPr="0050035B" w:rsidTr="00D07B7F">
        <w:trPr>
          <w:trHeight w:val="459"/>
          <w:jc w:val="center"/>
        </w:trPr>
        <w:tc>
          <w:tcPr>
            <w:tcW w:w="7248" w:type="dxa"/>
          </w:tcPr>
          <w:p w:rsidR="00715658" w:rsidRPr="0050035B" w:rsidRDefault="00B82F85" w:rsidP="00715658">
            <w:pPr>
              <w:ind w:left="720"/>
              <w:rPr>
                <w:rFonts w:ascii="Century Gothic" w:hAnsi="Century Gothic"/>
                <w:sz w:val="21"/>
                <w:szCs w:val="21"/>
              </w:rPr>
            </w:pPr>
            <w:r w:rsidRPr="0050035B">
              <w:rPr>
                <w:rFonts w:ascii="Century Gothic" w:hAnsi="Century Gothic"/>
                <w:sz w:val="21"/>
                <w:szCs w:val="21"/>
              </w:rPr>
              <w:t>1.2.6</w:t>
            </w:r>
            <w:r w:rsidR="000D24A0" w:rsidRPr="0050035B">
              <w:rPr>
                <w:rFonts w:ascii="Century Gothic" w:hAnsi="Century Gothic"/>
                <w:sz w:val="21"/>
                <w:szCs w:val="21"/>
              </w:rPr>
              <w:t>.</w:t>
            </w:r>
            <w:r w:rsidR="00715658" w:rsidRPr="0050035B">
              <w:rPr>
                <w:rFonts w:ascii="Century Gothic" w:hAnsi="Century Gothic"/>
                <w:sz w:val="21"/>
                <w:szCs w:val="21"/>
              </w:rPr>
              <w:t xml:space="preserve"> Clasificador por Rubros de Ingresos</w:t>
            </w:r>
          </w:p>
        </w:tc>
        <w:tc>
          <w:tcPr>
            <w:tcW w:w="1557" w:type="dxa"/>
            <w:vAlign w:val="center"/>
          </w:tcPr>
          <w:p w:rsidR="00715658" w:rsidRPr="00C17543" w:rsidRDefault="00C17543" w:rsidP="00D07B7F">
            <w:pPr>
              <w:spacing w:line="276" w:lineRule="auto"/>
              <w:jc w:val="center"/>
              <w:rPr>
                <w:rFonts w:ascii="Century Gothic" w:hAnsi="Century Gothic" w:cs="Segoe UI Semilight"/>
                <w:sz w:val="21"/>
                <w:szCs w:val="21"/>
              </w:rPr>
            </w:pPr>
            <w:r w:rsidRPr="00C17543">
              <w:rPr>
                <w:rFonts w:ascii="Century Gothic" w:hAnsi="Century Gothic" w:cs="Segoe UI Semilight"/>
                <w:sz w:val="21"/>
                <w:szCs w:val="21"/>
              </w:rPr>
              <w:t>22</w:t>
            </w:r>
          </w:p>
        </w:tc>
      </w:tr>
      <w:tr w:rsidR="00B424E6" w:rsidRPr="0050035B" w:rsidTr="00D07B7F">
        <w:trPr>
          <w:trHeight w:val="459"/>
          <w:jc w:val="center"/>
        </w:trPr>
        <w:tc>
          <w:tcPr>
            <w:tcW w:w="7248" w:type="dxa"/>
          </w:tcPr>
          <w:p w:rsidR="00B424E6" w:rsidRPr="0050035B" w:rsidRDefault="00B424E6" w:rsidP="00715658">
            <w:pPr>
              <w:ind w:left="720"/>
              <w:rPr>
                <w:rFonts w:ascii="Century Gothic" w:hAnsi="Century Gothic"/>
                <w:sz w:val="21"/>
                <w:szCs w:val="21"/>
              </w:rPr>
            </w:pPr>
            <w:r w:rsidRPr="0050035B">
              <w:rPr>
                <w:rFonts w:ascii="Century Gothic" w:hAnsi="Century Gothic"/>
                <w:sz w:val="21"/>
                <w:szCs w:val="21"/>
              </w:rPr>
              <w:t>1.2.7</w:t>
            </w:r>
            <w:r w:rsidR="000D24A0" w:rsidRPr="0050035B">
              <w:rPr>
                <w:rFonts w:ascii="Century Gothic" w:hAnsi="Century Gothic"/>
                <w:sz w:val="21"/>
                <w:szCs w:val="21"/>
              </w:rPr>
              <w:t>.</w:t>
            </w:r>
            <w:r w:rsidRPr="0050035B">
              <w:rPr>
                <w:rFonts w:ascii="Century Gothic" w:hAnsi="Century Gothic"/>
                <w:sz w:val="21"/>
                <w:szCs w:val="21"/>
              </w:rPr>
              <w:t xml:space="preserve"> Norma para establecer la estructura del calendario de ingresos base mensual</w:t>
            </w:r>
          </w:p>
        </w:tc>
        <w:tc>
          <w:tcPr>
            <w:tcW w:w="1557" w:type="dxa"/>
            <w:vAlign w:val="center"/>
          </w:tcPr>
          <w:p w:rsidR="00B424E6" w:rsidRPr="00C17543" w:rsidRDefault="00C17543" w:rsidP="00D07B7F">
            <w:pPr>
              <w:spacing w:line="276" w:lineRule="auto"/>
              <w:jc w:val="center"/>
              <w:rPr>
                <w:rFonts w:ascii="Century Gothic" w:hAnsi="Century Gothic" w:cs="Segoe UI Semilight"/>
                <w:sz w:val="21"/>
                <w:szCs w:val="21"/>
              </w:rPr>
            </w:pPr>
            <w:r w:rsidRPr="00C17543">
              <w:rPr>
                <w:rFonts w:ascii="Century Gothic" w:hAnsi="Century Gothic" w:cs="Segoe UI Semilight"/>
                <w:sz w:val="21"/>
                <w:szCs w:val="21"/>
              </w:rPr>
              <w:t>23</w:t>
            </w:r>
          </w:p>
        </w:tc>
      </w:tr>
      <w:tr w:rsidR="00715658" w:rsidRPr="0050035B" w:rsidTr="00D07B7F">
        <w:trPr>
          <w:trHeight w:val="459"/>
          <w:jc w:val="center"/>
        </w:trPr>
        <w:tc>
          <w:tcPr>
            <w:tcW w:w="7248" w:type="dxa"/>
          </w:tcPr>
          <w:p w:rsidR="00715658" w:rsidRPr="0050035B" w:rsidRDefault="00B424E6" w:rsidP="00A55428">
            <w:pPr>
              <w:ind w:left="720"/>
              <w:rPr>
                <w:rFonts w:ascii="Century Gothic" w:hAnsi="Century Gothic"/>
                <w:sz w:val="21"/>
                <w:szCs w:val="21"/>
              </w:rPr>
            </w:pPr>
            <w:r w:rsidRPr="0050035B">
              <w:rPr>
                <w:rFonts w:ascii="Century Gothic" w:hAnsi="Century Gothic"/>
                <w:sz w:val="21"/>
                <w:szCs w:val="21"/>
              </w:rPr>
              <w:t>1.2.8</w:t>
            </w:r>
            <w:r w:rsidR="000D24A0" w:rsidRPr="0050035B">
              <w:rPr>
                <w:rFonts w:ascii="Century Gothic" w:hAnsi="Century Gothic"/>
                <w:sz w:val="21"/>
                <w:szCs w:val="21"/>
              </w:rPr>
              <w:t>.</w:t>
            </w:r>
            <w:r w:rsidR="00715658" w:rsidRPr="0050035B">
              <w:rPr>
                <w:rFonts w:ascii="Century Gothic" w:hAnsi="Century Gothic"/>
                <w:sz w:val="21"/>
                <w:szCs w:val="21"/>
              </w:rPr>
              <w:t xml:space="preserve"> Constitución Política del Estado Libre y Soberano de Nuevo León </w:t>
            </w:r>
          </w:p>
        </w:tc>
        <w:tc>
          <w:tcPr>
            <w:tcW w:w="1557" w:type="dxa"/>
            <w:vAlign w:val="center"/>
          </w:tcPr>
          <w:p w:rsidR="00715658" w:rsidRPr="00C17543" w:rsidRDefault="00C17543" w:rsidP="00D07B7F">
            <w:pPr>
              <w:spacing w:line="276" w:lineRule="auto"/>
              <w:jc w:val="center"/>
              <w:rPr>
                <w:rFonts w:ascii="Century Gothic" w:hAnsi="Century Gothic" w:cs="Segoe UI Semilight"/>
                <w:sz w:val="21"/>
                <w:szCs w:val="21"/>
              </w:rPr>
            </w:pPr>
            <w:r w:rsidRPr="00C17543">
              <w:rPr>
                <w:rFonts w:ascii="Century Gothic" w:hAnsi="Century Gothic" w:cs="Segoe UI Semilight"/>
                <w:sz w:val="21"/>
                <w:szCs w:val="21"/>
              </w:rPr>
              <w:t>23</w:t>
            </w:r>
          </w:p>
        </w:tc>
      </w:tr>
      <w:tr w:rsidR="00715658" w:rsidRPr="0050035B" w:rsidTr="00D07B7F">
        <w:trPr>
          <w:trHeight w:val="459"/>
          <w:jc w:val="center"/>
        </w:trPr>
        <w:tc>
          <w:tcPr>
            <w:tcW w:w="7248" w:type="dxa"/>
          </w:tcPr>
          <w:p w:rsidR="00715658" w:rsidRPr="0050035B" w:rsidRDefault="00B82F85" w:rsidP="00B424E6">
            <w:pPr>
              <w:ind w:left="720"/>
              <w:rPr>
                <w:rFonts w:ascii="Century Gothic" w:hAnsi="Century Gothic"/>
                <w:sz w:val="21"/>
                <w:szCs w:val="21"/>
              </w:rPr>
            </w:pPr>
            <w:r w:rsidRPr="0050035B">
              <w:rPr>
                <w:rFonts w:ascii="Century Gothic" w:hAnsi="Century Gothic"/>
                <w:sz w:val="21"/>
                <w:szCs w:val="21"/>
              </w:rPr>
              <w:t>1.2.</w:t>
            </w:r>
            <w:r w:rsidR="00B424E6" w:rsidRPr="0050035B">
              <w:rPr>
                <w:rFonts w:ascii="Century Gothic" w:hAnsi="Century Gothic"/>
                <w:sz w:val="21"/>
                <w:szCs w:val="21"/>
              </w:rPr>
              <w:t>9</w:t>
            </w:r>
            <w:r w:rsidR="000D24A0" w:rsidRPr="0050035B">
              <w:rPr>
                <w:rFonts w:ascii="Century Gothic" w:hAnsi="Century Gothic"/>
                <w:sz w:val="21"/>
                <w:szCs w:val="21"/>
              </w:rPr>
              <w:t>.</w:t>
            </w:r>
            <w:r w:rsidR="00715658" w:rsidRPr="0050035B">
              <w:rPr>
                <w:rFonts w:ascii="Century Gothic" w:hAnsi="Century Gothic"/>
                <w:sz w:val="21"/>
                <w:szCs w:val="21"/>
              </w:rPr>
              <w:t xml:space="preserve"> Ley de Gobierno Municipal del Estado de Nuevo León</w:t>
            </w:r>
          </w:p>
        </w:tc>
        <w:tc>
          <w:tcPr>
            <w:tcW w:w="1557" w:type="dxa"/>
            <w:vAlign w:val="center"/>
          </w:tcPr>
          <w:p w:rsidR="00715658" w:rsidRPr="00C17543" w:rsidRDefault="00C17543" w:rsidP="00D07B7F">
            <w:pPr>
              <w:spacing w:line="276" w:lineRule="auto"/>
              <w:jc w:val="center"/>
              <w:rPr>
                <w:rFonts w:ascii="Century Gothic" w:hAnsi="Century Gothic" w:cs="Segoe UI Semilight"/>
                <w:sz w:val="21"/>
                <w:szCs w:val="21"/>
              </w:rPr>
            </w:pPr>
            <w:r w:rsidRPr="00C17543">
              <w:rPr>
                <w:rFonts w:ascii="Century Gothic" w:hAnsi="Century Gothic" w:cs="Segoe UI Semilight"/>
                <w:sz w:val="21"/>
                <w:szCs w:val="21"/>
              </w:rPr>
              <w:t>24</w:t>
            </w:r>
          </w:p>
        </w:tc>
      </w:tr>
      <w:tr w:rsidR="00715658" w:rsidRPr="0050035B" w:rsidTr="00D07B7F">
        <w:trPr>
          <w:trHeight w:val="459"/>
          <w:jc w:val="center"/>
        </w:trPr>
        <w:tc>
          <w:tcPr>
            <w:tcW w:w="7248" w:type="dxa"/>
          </w:tcPr>
          <w:p w:rsidR="00715658" w:rsidRPr="0050035B" w:rsidRDefault="00B82F85" w:rsidP="00A55428">
            <w:pPr>
              <w:ind w:left="720"/>
              <w:rPr>
                <w:rFonts w:ascii="Century Gothic" w:hAnsi="Century Gothic"/>
                <w:sz w:val="21"/>
                <w:szCs w:val="21"/>
              </w:rPr>
            </w:pPr>
            <w:r w:rsidRPr="0050035B">
              <w:rPr>
                <w:rFonts w:ascii="Century Gothic" w:hAnsi="Century Gothic"/>
                <w:sz w:val="21"/>
                <w:szCs w:val="21"/>
              </w:rPr>
              <w:t>1.2.</w:t>
            </w:r>
            <w:r w:rsidR="00B424E6" w:rsidRPr="0050035B">
              <w:rPr>
                <w:rFonts w:ascii="Century Gothic" w:hAnsi="Century Gothic"/>
                <w:sz w:val="21"/>
                <w:szCs w:val="21"/>
              </w:rPr>
              <w:t>10</w:t>
            </w:r>
            <w:r w:rsidR="000D24A0" w:rsidRPr="0050035B">
              <w:rPr>
                <w:rFonts w:ascii="Century Gothic" w:hAnsi="Century Gothic"/>
                <w:sz w:val="21"/>
                <w:szCs w:val="21"/>
              </w:rPr>
              <w:t>.</w:t>
            </w:r>
            <w:r w:rsidR="00715658" w:rsidRPr="0050035B">
              <w:rPr>
                <w:rFonts w:ascii="Century Gothic" w:hAnsi="Century Gothic"/>
                <w:sz w:val="21"/>
                <w:szCs w:val="21"/>
              </w:rPr>
              <w:t xml:space="preserve"> Código Fiscal </w:t>
            </w:r>
            <w:r w:rsidR="00A55428" w:rsidRPr="0050035B">
              <w:rPr>
                <w:rFonts w:ascii="Century Gothic" w:hAnsi="Century Gothic"/>
                <w:sz w:val="21"/>
                <w:szCs w:val="21"/>
              </w:rPr>
              <w:t>d</w:t>
            </w:r>
            <w:r w:rsidR="00715658" w:rsidRPr="0050035B">
              <w:rPr>
                <w:rFonts w:ascii="Century Gothic" w:hAnsi="Century Gothic"/>
                <w:sz w:val="21"/>
                <w:szCs w:val="21"/>
              </w:rPr>
              <w:t>el Estado de Nuevo León</w:t>
            </w:r>
          </w:p>
        </w:tc>
        <w:tc>
          <w:tcPr>
            <w:tcW w:w="1557" w:type="dxa"/>
            <w:vAlign w:val="center"/>
          </w:tcPr>
          <w:p w:rsidR="00715658" w:rsidRPr="00C17543" w:rsidRDefault="00C17543" w:rsidP="00D07B7F">
            <w:pPr>
              <w:spacing w:line="276" w:lineRule="auto"/>
              <w:jc w:val="center"/>
              <w:rPr>
                <w:rFonts w:ascii="Century Gothic" w:hAnsi="Century Gothic" w:cs="Segoe UI Semilight"/>
                <w:sz w:val="21"/>
                <w:szCs w:val="21"/>
              </w:rPr>
            </w:pPr>
            <w:r w:rsidRPr="00C17543">
              <w:rPr>
                <w:rFonts w:ascii="Century Gothic" w:hAnsi="Century Gothic" w:cs="Segoe UI Semilight"/>
                <w:sz w:val="21"/>
                <w:szCs w:val="21"/>
              </w:rPr>
              <w:t>26</w:t>
            </w:r>
          </w:p>
        </w:tc>
      </w:tr>
      <w:tr w:rsidR="004A5C23" w:rsidRPr="0050035B" w:rsidTr="00D07B7F">
        <w:trPr>
          <w:trHeight w:val="459"/>
          <w:jc w:val="center"/>
        </w:trPr>
        <w:tc>
          <w:tcPr>
            <w:tcW w:w="7248" w:type="dxa"/>
          </w:tcPr>
          <w:p w:rsidR="004A5C23" w:rsidRPr="0050035B" w:rsidRDefault="00B82F85" w:rsidP="00B424E6">
            <w:pPr>
              <w:ind w:left="720"/>
              <w:rPr>
                <w:rFonts w:ascii="Century Gothic" w:hAnsi="Century Gothic"/>
                <w:sz w:val="21"/>
                <w:szCs w:val="21"/>
              </w:rPr>
            </w:pPr>
            <w:r w:rsidRPr="0050035B">
              <w:rPr>
                <w:rFonts w:ascii="Century Gothic" w:hAnsi="Century Gothic"/>
                <w:sz w:val="21"/>
                <w:szCs w:val="21"/>
              </w:rPr>
              <w:t>1.2.1</w:t>
            </w:r>
            <w:r w:rsidR="00B424E6" w:rsidRPr="0050035B">
              <w:rPr>
                <w:rFonts w:ascii="Century Gothic" w:hAnsi="Century Gothic"/>
                <w:sz w:val="21"/>
                <w:szCs w:val="21"/>
              </w:rPr>
              <w:t>1</w:t>
            </w:r>
            <w:r w:rsidR="000D24A0" w:rsidRPr="0050035B">
              <w:rPr>
                <w:rFonts w:ascii="Century Gothic" w:hAnsi="Century Gothic"/>
                <w:sz w:val="21"/>
                <w:szCs w:val="21"/>
              </w:rPr>
              <w:t>.</w:t>
            </w:r>
            <w:r w:rsidR="004A5C23" w:rsidRPr="0050035B">
              <w:rPr>
                <w:rFonts w:ascii="Century Gothic" w:hAnsi="Century Gothic"/>
                <w:sz w:val="21"/>
                <w:szCs w:val="21"/>
              </w:rPr>
              <w:t xml:space="preserve"> Ley de Coordinación Hacendaria del Estado de Nuevo León</w:t>
            </w:r>
          </w:p>
        </w:tc>
        <w:tc>
          <w:tcPr>
            <w:tcW w:w="1557" w:type="dxa"/>
            <w:vAlign w:val="center"/>
          </w:tcPr>
          <w:p w:rsidR="004A5C23" w:rsidRPr="00C17543" w:rsidRDefault="00C17543" w:rsidP="00D07B7F">
            <w:pPr>
              <w:spacing w:line="276" w:lineRule="auto"/>
              <w:jc w:val="center"/>
              <w:rPr>
                <w:rFonts w:ascii="Century Gothic" w:hAnsi="Century Gothic" w:cs="Segoe UI Semilight"/>
                <w:sz w:val="21"/>
                <w:szCs w:val="21"/>
              </w:rPr>
            </w:pPr>
            <w:r w:rsidRPr="00C17543">
              <w:rPr>
                <w:rFonts w:ascii="Century Gothic" w:hAnsi="Century Gothic" w:cs="Segoe UI Semilight"/>
                <w:sz w:val="21"/>
                <w:szCs w:val="21"/>
              </w:rPr>
              <w:t>28</w:t>
            </w:r>
          </w:p>
        </w:tc>
      </w:tr>
      <w:tr w:rsidR="00715658" w:rsidRPr="0050035B" w:rsidTr="00D07B7F">
        <w:trPr>
          <w:trHeight w:val="459"/>
          <w:jc w:val="center"/>
        </w:trPr>
        <w:tc>
          <w:tcPr>
            <w:tcW w:w="7248" w:type="dxa"/>
          </w:tcPr>
          <w:p w:rsidR="00715658" w:rsidRPr="0050035B" w:rsidRDefault="00B82F85" w:rsidP="00B424E6">
            <w:pPr>
              <w:ind w:left="720"/>
              <w:rPr>
                <w:rFonts w:ascii="Century Gothic" w:hAnsi="Century Gothic"/>
                <w:sz w:val="21"/>
                <w:szCs w:val="21"/>
              </w:rPr>
            </w:pPr>
            <w:r w:rsidRPr="0050035B">
              <w:rPr>
                <w:rFonts w:ascii="Century Gothic" w:hAnsi="Century Gothic"/>
                <w:sz w:val="21"/>
                <w:szCs w:val="21"/>
              </w:rPr>
              <w:t>1.2.1</w:t>
            </w:r>
            <w:r w:rsidR="00B424E6" w:rsidRPr="0050035B">
              <w:rPr>
                <w:rFonts w:ascii="Century Gothic" w:hAnsi="Century Gothic"/>
                <w:sz w:val="21"/>
                <w:szCs w:val="21"/>
              </w:rPr>
              <w:t>2</w:t>
            </w:r>
            <w:r w:rsidR="000D24A0" w:rsidRPr="0050035B">
              <w:rPr>
                <w:rFonts w:ascii="Century Gothic" w:hAnsi="Century Gothic"/>
                <w:sz w:val="21"/>
                <w:szCs w:val="21"/>
              </w:rPr>
              <w:t>.</w:t>
            </w:r>
            <w:r w:rsidR="00715658" w:rsidRPr="0050035B">
              <w:rPr>
                <w:rFonts w:ascii="Century Gothic" w:hAnsi="Century Gothic"/>
                <w:sz w:val="21"/>
                <w:szCs w:val="21"/>
              </w:rPr>
              <w:t xml:space="preserve"> Reglamento de la Administración Pública del Municipio de Monterrey</w:t>
            </w:r>
          </w:p>
        </w:tc>
        <w:tc>
          <w:tcPr>
            <w:tcW w:w="1557" w:type="dxa"/>
            <w:vAlign w:val="center"/>
          </w:tcPr>
          <w:p w:rsidR="00715658" w:rsidRPr="00C17543" w:rsidRDefault="00C17543" w:rsidP="00D07B7F">
            <w:pPr>
              <w:spacing w:line="276" w:lineRule="auto"/>
              <w:jc w:val="center"/>
              <w:rPr>
                <w:rFonts w:ascii="Century Gothic" w:hAnsi="Century Gothic" w:cs="Segoe UI Semilight"/>
                <w:sz w:val="21"/>
                <w:szCs w:val="21"/>
              </w:rPr>
            </w:pPr>
            <w:r w:rsidRPr="00C17543">
              <w:rPr>
                <w:rFonts w:ascii="Century Gothic" w:hAnsi="Century Gothic" w:cs="Segoe UI Semilight"/>
                <w:sz w:val="21"/>
                <w:szCs w:val="21"/>
              </w:rPr>
              <w:t>32</w:t>
            </w:r>
          </w:p>
        </w:tc>
      </w:tr>
      <w:tr w:rsidR="00DB26DD" w:rsidRPr="0050035B" w:rsidTr="00D07B7F">
        <w:trPr>
          <w:trHeight w:val="147"/>
          <w:jc w:val="center"/>
        </w:trPr>
        <w:tc>
          <w:tcPr>
            <w:tcW w:w="7248" w:type="dxa"/>
          </w:tcPr>
          <w:p w:rsidR="00DB26DD" w:rsidRPr="0050035B" w:rsidRDefault="00DB26DD" w:rsidP="009A7BCA">
            <w:pPr>
              <w:ind w:left="708"/>
              <w:rPr>
                <w:rFonts w:ascii="Maiandra GD" w:hAnsi="Maiandra GD" w:cs="Segoe UI Semilight"/>
                <w:sz w:val="6"/>
                <w:szCs w:val="6"/>
              </w:rPr>
            </w:pPr>
          </w:p>
        </w:tc>
        <w:tc>
          <w:tcPr>
            <w:tcW w:w="1557" w:type="dxa"/>
            <w:vAlign w:val="center"/>
          </w:tcPr>
          <w:p w:rsidR="00DB26DD" w:rsidRPr="0050035B" w:rsidRDefault="00DB26DD" w:rsidP="00D07B7F">
            <w:pPr>
              <w:spacing w:line="276" w:lineRule="auto"/>
              <w:jc w:val="center"/>
              <w:rPr>
                <w:rFonts w:ascii="Century Gothic" w:hAnsi="Century Gothic" w:cs="Segoe UI Semilight"/>
                <w:sz w:val="6"/>
                <w:szCs w:val="6"/>
                <w:highlight w:val="yellow"/>
              </w:rPr>
            </w:pPr>
          </w:p>
        </w:tc>
      </w:tr>
      <w:tr w:rsidR="00DB26DD" w:rsidRPr="0050035B" w:rsidTr="00D07B7F">
        <w:trPr>
          <w:trHeight w:val="459"/>
          <w:jc w:val="center"/>
        </w:trPr>
        <w:tc>
          <w:tcPr>
            <w:tcW w:w="7248" w:type="dxa"/>
          </w:tcPr>
          <w:p w:rsidR="00C6626F" w:rsidRPr="0050035B" w:rsidRDefault="0041257E" w:rsidP="009A7BCA">
            <w:pPr>
              <w:rPr>
                <w:rFonts w:ascii="Century Gothic" w:hAnsi="Century Gothic"/>
                <w:b/>
                <w:sz w:val="21"/>
                <w:szCs w:val="21"/>
              </w:rPr>
            </w:pPr>
            <w:r w:rsidRPr="0050035B">
              <w:rPr>
                <w:rFonts w:ascii="Century Gothic" w:hAnsi="Century Gothic"/>
                <w:b/>
                <w:sz w:val="21"/>
                <w:szCs w:val="21"/>
              </w:rPr>
              <w:t>2</w:t>
            </w:r>
            <w:r w:rsidR="00C6626F" w:rsidRPr="0050035B">
              <w:rPr>
                <w:rFonts w:ascii="Century Gothic" w:hAnsi="Century Gothic"/>
                <w:b/>
                <w:sz w:val="21"/>
                <w:szCs w:val="21"/>
              </w:rPr>
              <w:t>. Exposición de Motivos</w:t>
            </w:r>
          </w:p>
        </w:tc>
        <w:tc>
          <w:tcPr>
            <w:tcW w:w="1557" w:type="dxa"/>
            <w:vAlign w:val="center"/>
          </w:tcPr>
          <w:p w:rsidR="00DB26DD" w:rsidRPr="0050035B" w:rsidRDefault="00FD580B" w:rsidP="00743BFD">
            <w:pPr>
              <w:spacing w:line="276" w:lineRule="auto"/>
              <w:jc w:val="center"/>
              <w:rPr>
                <w:rFonts w:ascii="Century Gothic" w:hAnsi="Century Gothic" w:cs="Segoe UI Semilight"/>
                <w:b/>
                <w:sz w:val="21"/>
                <w:szCs w:val="21"/>
                <w:highlight w:val="yellow"/>
              </w:rPr>
            </w:pPr>
            <w:r w:rsidRPr="00FD580B">
              <w:rPr>
                <w:rFonts w:ascii="Century Gothic" w:hAnsi="Century Gothic" w:cs="Segoe UI Semilight"/>
                <w:b/>
                <w:sz w:val="21"/>
                <w:szCs w:val="21"/>
              </w:rPr>
              <w:t>33</w:t>
            </w:r>
          </w:p>
        </w:tc>
      </w:tr>
      <w:tr w:rsidR="00DB26DD" w:rsidRPr="0050035B" w:rsidTr="00D07B7F">
        <w:trPr>
          <w:trHeight w:val="459"/>
          <w:jc w:val="center"/>
        </w:trPr>
        <w:tc>
          <w:tcPr>
            <w:tcW w:w="7248" w:type="dxa"/>
          </w:tcPr>
          <w:p w:rsidR="00DB26DD" w:rsidRPr="0050035B" w:rsidRDefault="0041257E" w:rsidP="00E91A10">
            <w:pPr>
              <w:rPr>
                <w:rFonts w:ascii="Maiandra GD" w:hAnsi="Maiandra GD" w:cs="Segoe UI Semilight"/>
                <w:sz w:val="21"/>
                <w:szCs w:val="21"/>
              </w:rPr>
            </w:pPr>
            <w:r w:rsidRPr="0050035B">
              <w:rPr>
                <w:rFonts w:ascii="Century Gothic" w:hAnsi="Century Gothic"/>
                <w:sz w:val="21"/>
                <w:szCs w:val="21"/>
              </w:rPr>
              <w:t>2.1</w:t>
            </w:r>
            <w:r w:rsidR="000D24A0" w:rsidRPr="0050035B">
              <w:rPr>
                <w:rFonts w:ascii="Century Gothic" w:hAnsi="Century Gothic"/>
                <w:sz w:val="21"/>
                <w:szCs w:val="21"/>
              </w:rPr>
              <w:t>.</w:t>
            </w:r>
            <w:r w:rsidR="00C6626F" w:rsidRPr="0050035B">
              <w:rPr>
                <w:rFonts w:ascii="Century Gothic" w:hAnsi="Century Gothic"/>
                <w:sz w:val="21"/>
                <w:szCs w:val="21"/>
              </w:rPr>
              <w:t xml:space="preserve"> Entorno </w:t>
            </w:r>
            <w:r w:rsidR="00E91A10" w:rsidRPr="0050035B">
              <w:rPr>
                <w:rFonts w:ascii="Century Gothic" w:hAnsi="Century Gothic"/>
                <w:sz w:val="21"/>
                <w:szCs w:val="21"/>
              </w:rPr>
              <w:t>Macroeconómico</w:t>
            </w:r>
            <w:r w:rsidR="00C6626F" w:rsidRPr="0050035B">
              <w:rPr>
                <w:rFonts w:ascii="Century Gothic" w:hAnsi="Century Gothic"/>
                <w:sz w:val="21"/>
                <w:szCs w:val="21"/>
              </w:rPr>
              <w:t xml:space="preserve"> </w:t>
            </w:r>
          </w:p>
        </w:tc>
        <w:tc>
          <w:tcPr>
            <w:tcW w:w="1557" w:type="dxa"/>
            <w:vAlign w:val="center"/>
          </w:tcPr>
          <w:p w:rsidR="00DB26DD" w:rsidRPr="0050035B" w:rsidRDefault="00FC15B0" w:rsidP="00743BFD">
            <w:pPr>
              <w:spacing w:line="276" w:lineRule="auto"/>
              <w:jc w:val="center"/>
              <w:rPr>
                <w:rFonts w:ascii="Century Gothic" w:hAnsi="Century Gothic" w:cs="Segoe UI Semilight"/>
                <w:sz w:val="21"/>
                <w:szCs w:val="21"/>
                <w:highlight w:val="yellow"/>
              </w:rPr>
            </w:pPr>
            <w:r w:rsidRPr="00FC15B0">
              <w:rPr>
                <w:rFonts w:ascii="Century Gothic" w:hAnsi="Century Gothic" w:cs="Segoe UI Semilight"/>
                <w:sz w:val="21"/>
                <w:szCs w:val="21"/>
              </w:rPr>
              <w:t>34</w:t>
            </w:r>
          </w:p>
        </w:tc>
      </w:tr>
      <w:tr w:rsidR="00DB26DD" w:rsidRPr="0050035B" w:rsidTr="00D07B7F">
        <w:trPr>
          <w:trHeight w:val="459"/>
          <w:jc w:val="center"/>
        </w:trPr>
        <w:tc>
          <w:tcPr>
            <w:tcW w:w="7248" w:type="dxa"/>
          </w:tcPr>
          <w:p w:rsidR="00DB26DD" w:rsidRPr="0050035B" w:rsidRDefault="0041257E" w:rsidP="00C960F0">
            <w:pPr>
              <w:ind w:left="720"/>
              <w:rPr>
                <w:rFonts w:ascii="Maiandra GD" w:hAnsi="Maiandra GD" w:cs="Segoe UI Semilight"/>
                <w:sz w:val="21"/>
                <w:szCs w:val="21"/>
              </w:rPr>
            </w:pPr>
            <w:r w:rsidRPr="0050035B">
              <w:rPr>
                <w:rFonts w:ascii="Century Gothic" w:hAnsi="Century Gothic"/>
                <w:sz w:val="21"/>
                <w:szCs w:val="21"/>
              </w:rPr>
              <w:t>2.1.1</w:t>
            </w:r>
            <w:r w:rsidR="000D24A0" w:rsidRPr="0050035B">
              <w:rPr>
                <w:rFonts w:ascii="Century Gothic" w:hAnsi="Century Gothic"/>
                <w:sz w:val="21"/>
                <w:szCs w:val="21"/>
              </w:rPr>
              <w:t>.</w:t>
            </w:r>
            <w:r w:rsidR="00C6626F" w:rsidRPr="0050035B">
              <w:rPr>
                <w:rFonts w:ascii="Century Gothic" w:hAnsi="Century Gothic"/>
                <w:sz w:val="21"/>
                <w:szCs w:val="21"/>
              </w:rPr>
              <w:t xml:space="preserve"> Entorno Económico Internacional</w:t>
            </w:r>
          </w:p>
        </w:tc>
        <w:tc>
          <w:tcPr>
            <w:tcW w:w="1557" w:type="dxa"/>
            <w:vAlign w:val="center"/>
          </w:tcPr>
          <w:p w:rsidR="00DB26DD" w:rsidRPr="0050035B" w:rsidRDefault="00B00A2F" w:rsidP="00D07B7F">
            <w:pPr>
              <w:spacing w:line="276" w:lineRule="auto"/>
              <w:jc w:val="center"/>
              <w:rPr>
                <w:rFonts w:ascii="Century Gothic" w:hAnsi="Century Gothic" w:cs="Segoe UI Semilight"/>
                <w:sz w:val="21"/>
                <w:szCs w:val="21"/>
                <w:highlight w:val="yellow"/>
              </w:rPr>
            </w:pPr>
            <w:r>
              <w:rPr>
                <w:rFonts w:ascii="Century Gothic" w:hAnsi="Century Gothic" w:cs="Segoe UI Semilight"/>
                <w:sz w:val="21"/>
                <w:szCs w:val="21"/>
              </w:rPr>
              <w:t>36</w:t>
            </w:r>
          </w:p>
        </w:tc>
      </w:tr>
      <w:tr w:rsidR="00DB26DD" w:rsidRPr="0050035B" w:rsidTr="00D07B7F">
        <w:trPr>
          <w:trHeight w:val="459"/>
          <w:jc w:val="center"/>
        </w:trPr>
        <w:tc>
          <w:tcPr>
            <w:tcW w:w="7248" w:type="dxa"/>
          </w:tcPr>
          <w:p w:rsidR="00DB26DD" w:rsidRPr="0050035B" w:rsidRDefault="0041257E" w:rsidP="0041257E">
            <w:pPr>
              <w:ind w:left="720"/>
              <w:rPr>
                <w:rFonts w:ascii="Century Gothic" w:hAnsi="Century Gothic"/>
                <w:sz w:val="21"/>
                <w:szCs w:val="21"/>
              </w:rPr>
            </w:pPr>
            <w:r w:rsidRPr="0050035B">
              <w:rPr>
                <w:rFonts w:ascii="Century Gothic" w:hAnsi="Century Gothic"/>
                <w:sz w:val="21"/>
                <w:szCs w:val="21"/>
              </w:rPr>
              <w:t>2</w:t>
            </w:r>
            <w:r w:rsidR="00C6626F" w:rsidRPr="0050035B">
              <w:rPr>
                <w:rFonts w:ascii="Century Gothic" w:hAnsi="Century Gothic"/>
                <w:sz w:val="21"/>
                <w:szCs w:val="21"/>
              </w:rPr>
              <w:t>.</w:t>
            </w:r>
            <w:r w:rsidRPr="0050035B">
              <w:rPr>
                <w:rFonts w:ascii="Century Gothic" w:hAnsi="Century Gothic"/>
                <w:sz w:val="21"/>
                <w:szCs w:val="21"/>
              </w:rPr>
              <w:t>1.2</w:t>
            </w:r>
            <w:r w:rsidR="000D24A0" w:rsidRPr="0050035B">
              <w:rPr>
                <w:rFonts w:ascii="Century Gothic" w:hAnsi="Century Gothic"/>
                <w:sz w:val="21"/>
                <w:szCs w:val="21"/>
              </w:rPr>
              <w:t>.</w:t>
            </w:r>
            <w:r w:rsidR="00C6626F" w:rsidRPr="0050035B">
              <w:rPr>
                <w:rFonts w:ascii="Century Gothic" w:hAnsi="Century Gothic"/>
                <w:sz w:val="21"/>
                <w:szCs w:val="21"/>
              </w:rPr>
              <w:t xml:space="preserve"> </w:t>
            </w:r>
            <w:r w:rsidR="00914CCD" w:rsidRPr="0050035B">
              <w:rPr>
                <w:rFonts w:ascii="Century Gothic" w:hAnsi="Century Gothic"/>
                <w:sz w:val="21"/>
                <w:szCs w:val="21"/>
              </w:rPr>
              <w:t>Entorno Económico N</w:t>
            </w:r>
            <w:r w:rsidR="00C6626F" w:rsidRPr="0050035B">
              <w:rPr>
                <w:rFonts w:ascii="Century Gothic" w:hAnsi="Century Gothic"/>
                <w:sz w:val="21"/>
                <w:szCs w:val="21"/>
              </w:rPr>
              <w:t>acional</w:t>
            </w:r>
          </w:p>
        </w:tc>
        <w:tc>
          <w:tcPr>
            <w:tcW w:w="1557" w:type="dxa"/>
            <w:vAlign w:val="center"/>
          </w:tcPr>
          <w:p w:rsidR="00DB26DD" w:rsidRPr="0042556D" w:rsidRDefault="00B00A2F" w:rsidP="0035791E">
            <w:pPr>
              <w:spacing w:line="276" w:lineRule="auto"/>
              <w:jc w:val="center"/>
              <w:rPr>
                <w:rFonts w:ascii="Century Gothic" w:hAnsi="Century Gothic" w:cs="Segoe UI Semilight"/>
                <w:sz w:val="21"/>
                <w:szCs w:val="21"/>
              </w:rPr>
            </w:pPr>
            <w:r>
              <w:rPr>
                <w:rFonts w:ascii="Century Gothic" w:hAnsi="Century Gothic" w:cs="Segoe UI Semilight"/>
                <w:sz w:val="21"/>
                <w:szCs w:val="21"/>
              </w:rPr>
              <w:t>41</w:t>
            </w:r>
          </w:p>
        </w:tc>
      </w:tr>
      <w:tr w:rsidR="00DB26DD" w:rsidRPr="0050035B" w:rsidTr="00D07B7F">
        <w:trPr>
          <w:trHeight w:val="459"/>
          <w:jc w:val="center"/>
        </w:trPr>
        <w:tc>
          <w:tcPr>
            <w:tcW w:w="7248" w:type="dxa"/>
          </w:tcPr>
          <w:p w:rsidR="00DB26DD" w:rsidRPr="0050035B" w:rsidRDefault="0041257E" w:rsidP="00C960F0">
            <w:pPr>
              <w:ind w:left="720"/>
              <w:rPr>
                <w:rFonts w:ascii="Century Gothic" w:hAnsi="Century Gothic"/>
                <w:sz w:val="21"/>
                <w:szCs w:val="21"/>
              </w:rPr>
            </w:pPr>
            <w:r w:rsidRPr="0050035B">
              <w:rPr>
                <w:rFonts w:ascii="Century Gothic" w:hAnsi="Century Gothic"/>
                <w:sz w:val="21"/>
                <w:szCs w:val="21"/>
              </w:rPr>
              <w:t>2.1.3</w:t>
            </w:r>
            <w:r w:rsidR="000D24A0" w:rsidRPr="0050035B">
              <w:rPr>
                <w:rFonts w:ascii="Century Gothic" w:hAnsi="Century Gothic"/>
                <w:sz w:val="21"/>
                <w:szCs w:val="21"/>
              </w:rPr>
              <w:t>.</w:t>
            </w:r>
            <w:r w:rsidR="00C6626F" w:rsidRPr="0050035B">
              <w:rPr>
                <w:rFonts w:ascii="Century Gothic" w:hAnsi="Century Gothic"/>
                <w:sz w:val="21"/>
                <w:szCs w:val="21"/>
              </w:rPr>
              <w:t xml:space="preserve"> Producto Interno Bruto (PIB)</w:t>
            </w:r>
          </w:p>
        </w:tc>
        <w:tc>
          <w:tcPr>
            <w:tcW w:w="1557" w:type="dxa"/>
            <w:vAlign w:val="center"/>
          </w:tcPr>
          <w:p w:rsidR="00DB26DD" w:rsidRPr="0042556D" w:rsidRDefault="00B00A2F" w:rsidP="00D07B7F">
            <w:pPr>
              <w:spacing w:line="276" w:lineRule="auto"/>
              <w:jc w:val="center"/>
              <w:rPr>
                <w:rFonts w:ascii="Century Gothic" w:hAnsi="Century Gothic" w:cs="Segoe UI Semilight"/>
                <w:sz w:val="21"/>
                <w:szCs w:val="21"/>
              </w:rPr>
            </w:pPr>
            <w:r>
              <w:rPr>
                <w:rFonts w:ascii="Century Gothic" w:hAnsi="Century Gothic" w:cs="Segoe UI Semilight"/>
                <w:sz w:val="21"/>
                <w:szCs w:val="21"/>
              </w:rPr>
              <w:t>48</w:t>
            </w:r>
          </w:p>
        </w:tc>
      </w:tr>
      <w:tr w:rsidR="00DB26DD" w:rsidRPr="0050035B" w:rsidTr="00D07B7F">
        <w:trPr>
          <w:trHeight w:val="459"/>
          <w:jc w:val="center"/>
        </w:trPr>
        <w:tc>
          <w:tcPr>
            <w:tcW w:w="7248" w:type="dxa"/>
          </w:tcPr>
          <w:p w:rsidR="00DB26DD" w:rsidRPr="0050035B" w:rsidRDefault="0041257E" w:rsidP="00C960F0">
            <w:pPr>
              <w:ind w:left="720"/>
              <w:rPr>
                <w:rFonts w:ascii="Century Gothic" w:hAnsi="Century Gothic"/>
                <w:sz w:val="21"/>
                <w:szCs w:val="21"/>
              </w:rPr>
            </w:pPr>
            <w:r w:rsidRPr="0050035B">
              <w:rPr>
                <w:rFonts w:ascii="Century Gothic" w:hAnsi="Century Gothic"/>
                <w:sz w:val="21"/>
                <w:szCs w:val="21"/>
              </w:rPr>
              <w:t>2.1.4</w:t>
            </w:r>
            <w:r w:rsidR="000D24A0" w:rsidRPr="0050035B">
              <w:rPr>
                <w:rFonts w:ascii="Century Gothic" w:hAnsi="Century Gothic"/>
                <w:sz w:val="21"/>
                <w:szCs w:val="21"/>
              </w:rPr>
              <w:t>.</w:t>
            </w:r>
            <w:r w:rsidRPr="0050035B">
              <w:rPr>
                <w:rFonts w:ascii="Century Gothic" w:hAnsi="Century Gothic"/>
                <w:sz w:val="21"/>
                <w:szCs w:val="21"/>
              </w:rPr>
              <w:t xml:space="preserve"> </w:t>
            </w:r>
            <w:r w:rsidR="00C6626F" w:rsidRPr="0050035B">
              <w:rPr>
                <w:rFonts w:ascii="Century Gothic" w:hAnsi="Century Gothic"/>
                <w:sz w:val="21"/>
                <w:szCs w:val="21"/>
              </w:rPr>
              <w:t>Inflación</w:t>
            </w:r>
          </w:p>
        </w:tc>
        <w:tc>
          <w:tcPr>
            <w:tcW w:w="1557" w:type="dxa"/>
            <w:vAlign w:val="center"/>
          </w:tcPr>
          <w:p w:rsidR="00DB26DD" w:rsidRPr="0042556D" w:rsidRDefault="00B00A2F" w:rsidP="00BC69E7">
            <w:pPr>
              <w:spacing w:line="276" w:lineRule="auto"/>
              <w:jc w:val="center"/>
              <w:rPr>
                <w:rFonts w:ascii="Century Gothic" w:hAnsi="Century Gothic" w:cs="Segoe UI Semilight"/>
                <w:sz w:val="21"/>
                <w:szCs w:val="21"/>
              </w:rPr>
            </w:pPr>
            <w:r>
              <w:rPr>
                <w:rFonts w:ascii="Century Gothic" w:hAnsi="Century Gothic" w:cs="Segoe UI Semilight"/>
                <w:sz w:val="21"/>
                <w:szCs w:val="21"/>
              </w:rPr>
              <w:t>49</w:t>
            </w:r>
          </w:p>
        </w:tc>
      </w:tr>
      <w:tr w:rsidR="00840309" w:rsidRPr="0050035B" w:rsidTr="00D07B7F">
        <w:trPr>
          <w:trHeight w:val="459"/>
          <w:jc w:val="center"/>
        </w:trPr>
        <w:tc>
          <w:tcPr>
            <w:tcW w:w="7248" w:type="dxa"/>
          </w:tcPr>
          <w:p w:rsidR="00840309" w:rsidRPr="0050035B" w:rsidRDefault="0041257E" w:rsidP="00C960F0">
            <w:pPr>
              <w:ind w:left="720"/>
              <w:rPr>
                <w:rFonts w:ascii="Century Gothic" w:hAnsi="Century Gothic"/>
                <w:sz w:val="21"/>
                <w:szCs w:val="21"/>
              </w:rPr>
            </w:pPr>
            <w:r w:rsidRPr="0050035B">
              <w:rPr>
                <w:rFonts w:ascii="Century Gothic" w:hAnsi="Century Gothic"/>
                <w:sz w:val="21"/>
                <w:szCs w:val="21"/>
              </w:rPr>
              <w:t>2.1.5</w:t>
            </w:r>
            <w:r w:rsidR="000D24A0" w:rsidRPr="0050035B">
              <w:rPr>
                <w:rFonts w:ascii="Century Gothic" w:hAnsi="Century Gothic"/>
                <w:sz w:val="21"/>
                <w:szCs w:val="21"/>
              </w:rPr>
              <w:t>.</w:t>
            </w:r>
            <w:r w:rsidR="00840309" w:rsidRPr="0050035B">
              <w:rPr>
                <w:rFonts w:ascii="Century Gothic" w:hAnsi="Century Gothic"/>
                <w:sz w:val="21"/>
                <w:szCs w:val="21"/>
              </w:rPr>
              <w:t xml:space="preserve"> </w:t>
            </w:r>
            <w:r w:rsidR="00B841F1" w:rsidRPr="0050035B">
              <w:rPr>
                <w:rFonts w:ascii="Century Gothic" w:hAnsi="Century Gothic"/>
                <w:sz w:val="21"/>
                <w:szCs w:val="21"/>
              </w:rPr>
              <w:t>Unidad de Medida y Actualización (UMA)</w:t>
            </w:r>
          </w:p>
        </w:tc>
        <w:tc>
          <w:tcPr>
            <w:tcW w:w="1557" w:type="dxa"/>
            <w:vAlign w:val="center"/>
          </w:tcPr>
          <w:p w:rsidR="00840309" w:rsidRPr="0042556D" w:rsidRDefault="00B00A2F" w:rsidP="00FA6910">
            <w:pPr>
              <w:spacing w:line="276" w:lineRule="auto"/>
              <w:jc w:val="center"/>
              <w:rPr>
                <w:rFonts w:ascii="Century Gothic" w:hAnsi="Century Gothic" w:cs="Segoe UI Semilight"/>
                <w:sz w:val="21"/>
                <w:szCs w:val="21"/>
              </w:rPr>
            </w:pPr>
            <w:r>
              <w:rPr>
                <w:rFonts w:ascii="Century Gothic" w:hAnsi="Century Gothic" w:cs="Segoe UI Semilight"/>
                <w:sz w:val="21"/>
                <w:szCs w:val="21"/>
              </w:rPr>
              <w:t>50</w:t>
            </w:r>
          </w:p>
        </w:tc>
      </w:tr>
      <w:tr w:rsidR="008C0CFE" w:rsidRPr="0050035B" w:rsidTr="009F4970">
        <w:trPr>
          <w:trHeight w:val="459"/>
          <w:jc w:val="center"/>
        </w:trPr>
        <w:tc>
          <w:tcPr>
            <w:tcW w:w="7248" w:type="dxa"/>
          </w:tcPr>
          <w:p w:rsidR="008C0CFE" w:rsidRPr="0050035B" w:rsidRDefault="008C0CFE" w:rsidP="008C0CFE">
            <w:pPr>
              <w:ind w:left="720"/>
              <w:rPr>
                <w:rFonts w:ascii="Century Gothic" w:hAnsi="Century Gothic"/>
                <w:sz w:val="21"/>
                <w:szCs w:val="21"/>
              </w:rPr>
            </w:pPr>
            <w:r w:rsidRPr="0050035B">
              <w:rPr>
                <w:rFonts w:ascii="Century Gothic" w:hAnsi="Century Gothic"/>
                <w:sz w:val="21"/>
                <w:szCs w:val="21"/>
              </w:rPr>
              <w:t>2.1.6. Tipo de Cambio</w:t>
            </w:r>
          </w:p>
        </w:tc>
        <w:tc>
          <w:tcPr>
            <w:tcW w:w="1557" w:type="dxa"/>
            <w:vAlign w:val="center"/>
          </w:tcPr>
          <w:p w:rsidR="008C0CFE" w:rsidRPr="0042556D" w:rsidRDefault="00B00A2F" w:rsidP="009F4970">
            <w:pPr>
              <w:spacing w:line="276" w:lineRule="auto"/>
              <w:jc w:val="center"/>
              <w:rPr>
                <w:rFonts w:ascii="Century Gothic" w:hAnsi="Century Gothic" w:cs="Segoe UI Semilight"/>
                <w:sz w:val="21"/>
                <w:szCs w:val="21"/>
              </w:rPr>
            </w:pPr>
            <w:r>
              <w:rPr>
                <w:rFonts w:ascii="Century Gothic" w:hAnsi="Century Gothic" w:cs="Segoe UI Semilight"/>
                <w:sz w:val="21"/>
                <w:szCs w:val="21"/>
              </w:rPr>
              <w:t>51</w:t>
            </w:r>
          </w:p>
        </w:tc>
      </w:tr>
      <w:tr w:rsidR="008C0CFE" w:rsidRPr="0050035B" w:rsidTr="009F4970">
        <w:trPr>
          <w:trHeight w:val="459"/>
          <w:jc w:val="center"/>
        </w:trPr>
        <w:tc>
          <w:tcPr>
            <w:tcW w:w="7248" w:type="dxa"/>
          </w:tcPr>
          <w:p w:rsidR="008C0CFE" w:rsidRPr="0050035B" w:rsidRDefault="00453DB9" w:rsidP="00453DB9">
            <w:pPr>
              <w:ind w:left="720"/>
              <w:rPr>
                <w:rFonts w:ascii="Century Gothic" w:hAnsi="Century Gothic"/>
                <w:sz w:val="21"/>
                <w:szCs w:val="21"/>
              </w:rPr>
            </w:pPr>
            <w:r w:rsidRPr="0050035B">
              <w:rPr>
                <w:rFonts w:ascii="Century Gothic" w:hAnsi="Century Gothic"/>
                <w:sz w:val="21"/>
                <w:szCs w:val="21"/>
              </w:rPr>
              <w:lastRenderedPageBreak/>
              <w:t xml:space="preserve">2.1.7. Producción de Hidrocarburos </w:t>
            </w:r>
          </w:p>
        </w:tc>
        <w:tc>
          <w:tcPr>
            <w:tcW w:w="1557" w:type="dxa"/>
            <w:vAlign w:val="center"/>
          </w:tcPr>
          <w:p w:rsidR="008C0CFE" w:rsidRPr="0042556D" w:rsidRDefault="00B00A2F" w:rsidP="009F4970">
            <w:pPr>
              <w:spacing w:line="276" w:lineRule="auto"/>
              <w:jc w:val="center"/>
              <w:rPr>
                <w:rFonts w:ascii="Century Gothic" w:hAnsi="Century Gothic" w:cs="Segoe UI Semilight"/>
                <w:sz w:val="21"/>
                <w:szCs w:val="21"/>
              </w:rPr>
            </w:pPr>
            <w:r>
              <w:rPr>
                <w:rFonts w:ascii="Century Gothic" w:hAnsi="Century Gothic" w:cs="Segoe UI Semilight"/>
                <w:sz w:val="21"/>
                <w:szCs w:val="21"/>
              </w:rPr>
              <w:t>52</w:t>
            </w:r>
          </w:p>
        </w:tc>
      </w:tr>
      <w:tr w:rsidR="008C0CFE" w:rsidRPr="0050035B" w:rsidTr="00D07B7F">
        <w:trPr>
          <w:trHeight w:val="459"/>
          <w:jc w:val="center"/>
        </w:trPr>
        <w:tc>
          <w:tcPr>
            <w:tcW w:w="7248" w:type="dxa"/>
          </w:tcPr>
          <w:p w:rsidR="008C0CFE" w:rsidRPr="0050035B" w:rsidRDefault="00453DB9" w:rsidP="00C960F0">
            <w:pPr>
              <w:ind w:left="720"/>
              <w:rPr>
                <w:rFonts w:ascii="Century Gothic" w:hAnsi="Century Gothic"/>
                <w:sz w:val="21"/>
                <w:szCs w:val="21"/>
              </w:rPr>
            </w:pPr>
            <w:r w:rsidRPr="0050035B">
              <w:rPr>
                <w:rFonts w:ascii="Century Gothic" w:hAnsi="Century Gothic"/>
                <w:sz w:val="21"/>
                <w:szCs w:val="21"/>
              </w:rPr>
              <w:t>2.1.8. Tasa de Interés (Cetes 28 días, %)</w:t>
            </w:r>
          </w:p>
        </w:tc>
        <w:tc>
          <w:tcPr>
            <w:tcW w:w="1557" w:type="dxa"/>
            <w:vAlign w:val="center"/>
          </w:tcPr>
          <w:p w:rsidR="008C0CFE" w:rsidRPr="0042556D" w:rsidRDefault="00B00A2F" w:rsidP="00E574B6">
            <w:pPr>
              <w:spacing w:line="276" w:lineRule="auto"/>
              <w:jc w:val="center"/>
              <w:rPr>
                <w:rFonts w:ascii="Century Gothic" w:hAnsi="Century Gothic" w:cs="Segoe UI Semilight"/>
                <w:sz w:val="21"/>
                <w:szCs w:val="21"/>
              </w:rPr>
            </w:pPr>
            <w:r>
              <w:rPr>
                <w:rFonts w:ascii="Century Gothic" w:hAnsi="Century Gothic" w:cs="Segoe UI Semilight"/>
                <w:sz w:val="21"/>
                <w:szCs w:val="21"/>
              </w:rPr>
              <w:t>5</w:t>
            </w:r>
            <w:r w:rsidR="00E574B6">
              <w:rPr>
                <w:rFonts w:ascii="Century Gothic" w:hAnsi="Century Gothic" w:cs="Segoe UI Semilight"/>
                <w:sz w:val="21"/>
                <w:szCs w:val="21"/>
              </w:rPr>
              <w:t>3</w:t>
            </w:r>
          </w:p>
        </w:tc>
      </w:tr>
      <w:tr w:rsidR="00DB26DD" w:rsidRPr="0050035B" w:rsidTr="00D07B7F">
        <w:trPr>
          <w:trHeight w:val="459"/>
          <w:jc w:val="center"/>
        </w:trPr>
        <w:tc>
          <w:tcPr>
            <w:tcW w:w="7248" w:type="dxa"/>
          </w:tcPr>
          <w:p w:rsidR="00DB26DD" w:rsidRPr="0050035B" w:rsidRDefault="00C960F0" w:rsidP="009A7BCA">
            <w:pPr>
              <w:jc w:val="both"/>
              <w:rPr>
                <w:rFonts w:ascii="Century Gothic" w:hAnsi="Century Gothic"/>
                <w:sz w:val="21"/>
                <w:szCs w:val="21"/>
              </w:rPr>
            </w:pPr>
            <w:r w:rsidRPr="0050035B">
              <w:rPr>
                <w:rFonts w:ascii="Century Gothic" w:hAnsi="Century Gothic"/>
                <w:sz w:val="21"/>
                <w:szCs w:val="21"/>
              </w:rPr>
              <w:t>2</w:t>
            </w:r>
            <w:r w:rsidR="0041257E" w:rsidRPr="0050035B">
              <w:rPr>
                <w:rFonts w:ascii="Century Gothic" w:hAnsi="Century Gothic"/>
                <w:sz w:val="21"/>
                <w:szCs w:val="21"/>
              </w:rPr>
              <w:t>.2</w:t>
            </w:r>
            <w:r w:rsidR="000D24A0" w:rsidRPr="0050035B">
              <w:rPr>
                <w:rFonts w:ascii="Century Gothic" w:hAnsi="Century Gothic"/>
                <w:sz w:val="21"/>
                <w:szCs w:val="21"/>
              </w:rPr>
              <w:t>.</w:t>
            </w:r>
            <w:r w:rsidR="000A515C" w:rsidRPr="0050035B">
              <w:rPr>
                <w:rFonts w:ascii="Century Gothic" w:hAnsi="Century Gothic"/>
                <w:sz w:val="21"/>
                <w:szCs w:val="21"/>
              </w:rPr>
              <w:t xml:space="preserve"> Contexto Local</w:t>
            </w:r>
          </w:p>
        </w:tc>
        <w:tc>
          <w:tcPr>
            <w:tcW w:w="1557" w:type="dxa"/>
            <w:vAlign w:val="center"/>
          </w:tcPr>
          <w:p w:rsidR="00DB26DD" w:rsidRPr="0042556D" w:rsidRDefault="00B00A2F" w:rsidP="00E574B6">
            <w:pPr>
              <w:spacing w:line="276" w:lineRule="auto"/>
              <w:jc w:val="center"/>
              <w:rPr>
                <w:rFonts w:ascii="Century Gothic" w:hAnsi="Century Gothic" w:cs="Segoe UI Semilight"/>
                <w:sz w:val="21"/>
                <w:szCs w:val="21"/>
              </w:rPr>
            </w:pPr>
            <w:r>
              <w:rPr>
                <w:rFonts w:ascii="Century Gothic" w:hAnsi="Century Gothic" w:cs="Segoe UI Semilight"/>
                <w:sz w:val="21"/>
                <w:szCs w:val="21"/>
              </w:rPr>
              <w:t>5</w:t>
            </w:r>
            <w:r w:rsidR="00E574B6">
              <w:rPr>
                <w:rFonts w:ascii="Century Gothic" w:hAnsi="Century Gothic" w:cs="Segoe UI Semilight"/>
                <w:sz w:val="21"/>
                <w:szCs w:val="21"/>
              </w:rPr>
              <w:t>4</w:t>
            </w:r>
          </w:p>
        </w:tc>
      </w:tr>
      <w:tr w:rsidR="00DB26DD" w:rsidRPr="0050035B" w:rsidTr="00D07B7F">
        <w:trPr>
          <w:trHeight w:val="459"/>
          <w:jc w:val="center"/>
        </w:trPr>
        <w:tc>
          <w:tcPr>
            <w:tcW w:w="7248" w:type="dxa"/>
          </w:tcPr>
          <w:p w:rsidR="00DB26DD" w:rsidRPr="0050035B" w:rsidRDefault="0041257E" w:rsidP="00C960F0">
            <w:pPr>
              <w:ind w:left="720"/>
              <w:rPr>
                <w:rFonts w:ascii="Century Gothic" w:hAnsi="Century Gothic"/>
                <w:sz w:val="21"/>
                <w:szCs w:val="21"/>
              </w:rPr>
            </w:pPr>
            <w:r w:rsidRPr="0050035B">
              <w:rPr>
                <w:rFonts w:ascii="Century Gothic" w:hAnsi="Century Gothic"/>
                <w:sz w:val="21"/>
                <w:szCs w:val="21"/>
              </w:rPr>
              <w:t>2.2.1</w:t>
            </w:r>
            <w:r w:rsidR="000D24A0" w:rsidRPr="0050035B">
              <w:rPr>
                <w:rFonts w:ascii="Century Gothic" w:hAnsi="Century Gothic"/>
                <w:sz w:val="21"/>
                <w:szCs w:val="21"/>
              </w:rPr>
              <w:t>.</w:t>
            </w:r>
            <w:r w:rsidR="00E02ACD" w:rsidRPr="0050035B">
              <w:rPr>
                <w:rFonts w:ascii="Century Gothic" w:hAnsi="Century Gothic"/>
                <w:sz w:val="21"/>
                <w:szCs w:val="21"/>
              </w:rPr>
              <w:t xml:space="preserve"> Aspectos Generales</w:t>
            </w:r>
          </w:p>
        </w:tc>
        <w:tc>
          <w:tcPr>
            <w:tcW w:w="1557" w:type="dxa"/>
            <w:vAlign w:val="center"/>
          </w:tcPr>
          <w:p w:rsidR="00DB26DD" w:rsidRPr="0042556D" w:rsidRDefault="00B00A2F" w:rsidP="00E574B6">
            <w:pPr>
              <w:spacing w:line="276" w:lineRule="auto"/>
              <w:jc w:val="center"/>
              <w:rPr>
                <w:rFonts w:ascii="Century Gothic" w:hAnsi="Century Gothic" w:cs="Segoe UI Semilight"/>
                <w:sz w:val="21"/>
                <w:szCs w:val="21"/>
              </w:rPr>
            </w:pPr>
            <w:r>
              <w:rPr>
                <w:rFonts w:ascii="Century Gothic" w:hAnsi="Century Gothic" w:cs="Segoe UI Semilight"/>
                <w:sz w:val="21"/>
                <w:szCs w:val="21"/>
              </w:rPr>
              <w:t>5</w:t>
            </w:r>
            <w:r w:rsidR="00E574B6">
              <w:rPr>
                <w:rFonts w:ascii="Century Gothic" w:hAnsi="Century Gothic" w:cs="Segoe UI Semilight"/>
                <w:sz w:val="21"/>
                <w:szCs w:val="21"/>
              </w:rPr>
              <w:t>4</w:t>
            </w:r>
          </w:p>
        </w:tc>
      </w:tr>
      <w:tr w:rsidR="00DB26DD" w:rsidRPr="0050035B" w:rsidTr="00D07B7F">
        <w:trPr>
          <w:trHeight w:val="459"/>
          <w:jc w:val="center"/>
        </w:trPr>
        <w:tc>
          <w:tcPr>
            <w:tcW w:w="7248" w:type="dxa"/>
          </w:tcPr>
          <w:p w:rsidR="00DB26DD" w:rsidRPr="0050035B" w:rsidRDefault="0041257E" w:rsidP="00C960F0">
            <w:pPr>
              <w:ind w:left="720"/>
              <w:rPr>
                <w:rFonts w:ascii="Century Gothic" w:hAnsi="Century Gothic"/>
                <w:sz w:val="21"/>
                <w:szCs w:val="21"/>
              </w:rPr>
            </w:pPr>
            <w:r w:rsidRPr="0050035B">
              <w:rPr>
                <w:rFonts w:ascii="Century Gothic" w:hAnsi="Century Gothic"/>
                <w:sz w:val="21"/>
                <w:szCs w:val="21"/>
              </w:rPr>
              <w:t>2.2.2</w:t>
            </w:r>
            <w:r w:rsidR="000D24A0" w:rsidRPr="0050035B">
              <w:rPr>
                <w:rFonts w:ascii="Century Gothic" w:hAnsi="Century Gothic"/>
                <w:sz w:val="21"/>
                <w:szCs w:val="21"/>
              </w:rPr>
              <w:t>.</w:t>
            </w:r>
            <w:r w:rsidR="00E02ACD" w:rsidRPr="0050035B">
              <w:rPr>
                <w:rFonts w:ascii="Century Gothic" w:hAnsi="Century Gothic"/>
                <w:sz w:val="21"/>
                <w:szCs w:val="21"/>
              </w:rPr>
              <w:t xml:space="preserve"> </w:t>
            </w:r>
            <w:r w:rsidR="008F203D" w:rsidRPr="0050035B">
              <w:rPr>
                <w:rFonts w:ascii="Century Gothic" w:hAnsi="Century Gothic"/>
                <w:sz w:val="21"/>
                <w:szCs w:val="21"/>
              </w:rPr>
              <w:t>Políticas Públicas Municipales</w:t>
            </w:r>
            <w:r w:rsidR="00BA77D0" w:rsidRPr="0050035B">
              <w:rPr>
                <w:rFonts w:ascii="Century Gothic" w:hAnsi="Century Gothic"/>
                <w:sz w:val="21"/>
                <w:szCs w:val="21"/>
              </w:rPr>
              <w:t xml:space="preserve"> </w:t>
            </w:r>
          </w:p>
        </w:tc>
        <w:tc>
          <w:tcPr>
            <w:tcW w:w="1557" w:type="dxa"/>
            <w:shd w:val="clear" w:color="auto" w:fill="auto"/>
            <w:vAlign w:val="center"/>
          </w:tcPr>
          <w:p w:rsidR="00DB26DD" w:rsidRPr="0042556D" w:rsidRDefault="00E574B6" w:rsidP="00696FC7">
            <w:pPr>
              <w:spacing w:line="276" w:lineRule="auto"/>
              <w:jc w:val="center"/>
              <w:rPr>
                <w:rFonts w:ascii="Century Gothic" w:hAnsi="Century Gothic" w:cs="Segoe UI Semilight"/>
                <w:sz w:val="21"/>
                <w:szCs w:val="21"/>
              </w:rPr>
            </w:pPr>
            <w:r>
              <w:rPr>
                <w:rFonts w:ascii="Century Gothic" w:hAnsi="Century Gothic" w:cs="Segoe UI Semilight"/>
                <w:sz w:val="21"/>
                <w:szCs w:val="21"/>
              </w:rPr>
              <w:t>61</w:t>
            </w:r>
          </w:p>
        </w:tc>
      </w:tr>
      <w:tr w:rsidR="00DB26DD" w:rsidRPr="0050035B" w:rsidTr="00D07B7F">
        <w:trPr>
          <w:trHeight w:val="459"/>
          <w:jc w:val="center"/>
        </w:trPr>
        <w:tc>
          <w:tcPr>
            <w:tcW w:w="7248" w:type="dxa"/>
          </w:tcPr>
          <w:p w:rsidR="00DB26DD" w:rsidRPr="0050035B" w:rsidRDefault="0041257E" w:rsidP="00C960F0">
            <w:pPr>
              <w:ind w:left="720"/>
              <w:rPr>
                <w:rFonts w:ascii="Maiandra GD" w:hAnsi="Maiandra GD" w:cs="Segoe UI Semilight"/>
                <w:sz w:val="21"/>
                <w:szCs w:val="21"/>
              </w:rPr>
            </w:pPr>
            <w:r w:rsidRPr="0050035B">
              <w:rPr>
                <w:rFonts w:ascii="Century Gothic" w:hAnsi="Century Gothic"/>
                <w:sz w:val="21"/>
                <w:szCs w:val="21"/>
              </w:rPr>
              <w:t>2.2.3</w:t>
            </w:r>
            <w:r w:rsidR="000D24A0" w:rsidRPr="0050035B">
              <w:rPr>
                <w:rFonts w:ascii="Century Gothic" w:hAnsi="Century Gothic"/>
                <w:sz w:val="21"/>
                <w:szCs w:val="21"/>
              </w:rPr>
              <w:t>.</w:t>
            </w:r>
            <w:r w:rsidR="008F203D" w:rsidRPr="0050035B">
              <w:rPr>
                <w:rFonts w:ascii="Century Gothic" w:hAnsi="Century Gothic"/>
                <w:sz w:val="21"/>
                <w:szCs w:val="21"/>
              </w:rPr>
              <w:t xml:space="preserve"> Acciones y Estrategias para f</w:t>
            </w:r>
            <w:r w:rsidR="00BA77D0" w:rsidRPr="0050035B">
              <w:rPr>
                <w:rFonts w:ascii="Century Gothic" w:hAnsi="Century Gothic"/>
                <w:sz w:val="21"/>
                <w:szCs w:val="21"/>
              </w:rPr>
              <w:t xml:space="preserve">ortalecer la Hacienda Pública </w:t>
            </w:r>
            <w:r w:rsidR="008F203D" w:rsidRPr="0050035B">
              <w:rPr>
                <w:rFonts w:ascii="Century Gothic" w:hAnsi="Century Gothic"/>
                <w:sz w:val="21"/>
                <w:szCs w:val="21"/>
              </w:rPr>
              <w:t>Municipal</w:t>
            </w:r>
          </w:p>
        </w:tc>
        <w:tc>
          <w:tcPr>
            <w:tcW w:w="1557" w:type="dxa"/>
            <w:vAlign w:val="center"/>
          </w:tcPr>
          <w:p w:rsidR="00DB26DD" w:rsidRPr="0042556D" w:rsidRDefault="00DD2355" w:rsidP="00D07B7F">
            <w:pPr>
              <w:spacing w:line="276" w:lineRule="auto"/>
              <w:jc w:val="center"/>
              <w:rPr>
                <w:rFonts w:ascii="Century Gothic" w:hAnsi="Century Gothic" w:cs="Segoe UI Semilight"/>
                <w:sz w:val="21"/>
                <w:szCs w:val="21"/>
              </w:rPr>
            </w:pPr>
            <w:r>
              <w:rPr>
                <w:rFonts w:ascii="Century Gothic" w:hAnsi="Century Gothic" w:cs="Segoe UI Semilight"/>
                <w:sz w:val="21"/>
                <w:szCs w:val="21"/>
              </w:rPr>
              <w:t>65</w:t>
            </w:r>
          </w:p>
        </w:tc>
      </w:tr>
      <w:tr w:rsidR="00DB26DD" w:rsidRPr="0050035B" w:rsidTr="00D07B7F">
        <w:trPr>
          <w:trHeight w:val="196"/>
          <w:jc w:val="center"/>
        </w:trPr>
        <w:tc>
          <w:tcPr>
            <w:tcW w:w="7248" w:type="dxa"/>
          </w:tcPr>
          <w:p w:rsidR="00DB26DD" w:rsidRPr="0050035B" w:rsidRDefault="00DB26DD" w:rsidP="009A7BCA">
            <w:pPr>
              <w:rPr>
                <w:rFonts w:ascii="Century Gothic" w:hAnsi="Century Gothic"/>
                <w:b/>
                <w:sz w:val="7"/>
                <w:szCs w:val="7"/>
              </w:rPr>
            </w:pPr>
          </w:p>
        </w:tc>
        <w:tc>
          <w:tcPr>
            <w:tcW w:w="1557" w:type="dxa"/>
            <w:vAlign w:val="center"/>
          </w:tcPr>
          <w:p w:rsidR="00DB26DD" w:rsidRPr="0042556D" w:rsidRDefault="00DB26DD" w:rsidP="00D07B7F">
            <w:pPr>
              <w:spacing w:line="276" w:lineRule="auto"/>
              <w:jc w:val="center"/>
              <w:rPr>
                <w:rFonts w:ascii="Century Gothic" w:hAnsi="Century Gothic" w:cs="Segoe UI Semilight"/>
                <w:sz w:val="7"/>
                <w:szCs w:val="7"/>
              </w:rPr>
            </w:pPr>
          </w:p>
        </w:tc>
      </w:tr>
      <w:tr w:rsidR="00665360" w:rsidRPr="0050035B" w:rsidTr="00D07B7F">
        <w:trPr>
          <w:trHeight w:val="459"/>
          <w:jc w:val="center"/>
        </w:trPr>
        <w:tc>
          <w:tcPr>
            <w:tcW w:w="7248" w:type="dxa"/>
          </w:tcPr>
          <w:p w:rsidR="00665360" w:rsidRPr="0050035B" w:rsidRDefault="00453DB9" w:rsidP="009A7BCA">
            <w:pPr>
              <w:rPr>
                <w:rFonts w:ascii="Century Gothic" w:hAnsi="Century Gothic"/>
                <w:b/>
                <w:sz w:val="21"/>
                <w:szCs w:val="21"/>
              </w:rPr>
            </w:pPr>
            <w:r w:rsidRPr="0050035B">
              <w:rPr>
                <w:rFonts w:ascii="Century Gothic" w:hAnsi="Century Gothic"/>
                <w:b/>
                <w:sz w:val="21"/>
                <w:szCs w:val="21"/>
              </w:rPr>
              <w:t>3. Disciplina Financiera</w:t>
            </w:r>
          </w:p>
          <w:p w:rsidR="00453DB9" w:rsidRPr="0050035B" w:rsidRDefault="00453DB9" w:rsidP="009A7BCA">
            <w:pPr>
              <w:rPr>
                <w:rFonts w:ascii="Maiandra GD" w:hAnsi="Maiandra GD" w:cs="Segoe UI Semilight"/>
                <w:sz w:val="21"/>
                <w:szCs w:val="21"/>
              </w:rPr>
            </w:pPr>
          </w:p>
        </w:tc>
        <w:tc>
          <w:tcPr>
            <w:tcW w:w="1557" w:type="dxa"/>
            <w:vAlign w:val="center"/>
          </w:tcPr>
          <w:p w:rsidR="00665360" w:rsidRPr="0042556D" w:rsidRDefault="00B00A2F" w:rsidP="00E92294">
            <w:pPr>
              <w:spacing w:line="276" w:lineRule="auto"/>
              <w:jc w:val="center"/>
              <w:rPr>
                <w:rFonts w:ascii="Century Gothic" w:hAnsi="Century Gothic" w:cs="Segoe UI Semilight"/>
                <w:b/>
              </w:rPr>
            </w:pPr>
            <w:r>
              <w:rPr>
                <w:rFonts w:ascii="Century Gothic" w:hAnsi="Century Gothic" w:cs="Segoe UI Semilight"/>
                <w:b/>
              </w:rPr>
              <w:t>69</w:t>
            </w:r>
          </w:p>
        </w:tc>
      </w:tr>
      <w:tr w:rsidR="00B9107D" w:rsidRPr="0050035B" w:rsidTr="00D07B7F">
        <w:trPr>
          <w:trHeight w:val="459"/>
          <w:jc w:val="center"/>
        </w:trPr>
        <w:tc>
          <w:tcPr>
            <w:tcW w:w="7248" w:type="dxa"/>
          </w:tcPr>
          <w:p w:rsidR="00B9107D" w:rsidRPr="0050035B" w:rsidRDefault="00B9107D" w:rsidP="00B9107D">
            <w:pPr>
              <w:rPr>
                <w:rFonts w:ascii="Maiandra GD" w:hAnsi="Maiandra GD" w:cs="Segoe UI Semilight"/>
                <w:sz w:val="21"/>
                <w:szCs w:val="21"/>
              </w:rPr>
            </w:pPr>
            <w:r w:rsidRPr="0050035B">
              <w:rPr>
                <w:rFonts w:ascii="Century Gothic" w:hAnsi="Century Gothic"/>
                <w:sz w:val="21"/>
                <w:szCs w:val="21"/>
              </w:rPr>
              <w:t xml:space="preserve">3.1. </w:t>
            </w:r>
            <w:r>
              <w:rPr>
                <w:rFonts w:ascii="Century Gothic" w:hAnsi="Century Gothic"/>
                <w:sz w:val="21"/>
                <w:szCs w:val="21"/>
              </w:rPr>
              <w:t xml:space="preserve">Riesgos Relevantes para las Finanzas Públicas </w:t>
            </w:r>
          </w:p>
        </w:tc>
        <w:tc>
          <w:tcPr>
            <w:tcW w:w="1557" w:type="dxa"/>
            <w:shd w:val="clear" w:color="auto" w:fill="auto"/>
            <w:vAlign w:val="center"/>
          </w:tcPr>
          <w:p w:rsidR="00B9107D" w:rsidRPr="0042556D" w:rsidRDefault="00B00A2F" w:rsidP="00B9107D">
            <w:pPr>
              <w:spacing w:line="276" w:lineRule="auto"/>
              <w:jc w:val="center"/>
              <w:rPr>
                <w:rFonts w:ascii="Century Gothic" w:hAnsi="Century Gothic" w:cs="Segoe UI Semilight"/>
              </w:rPr>
            </w:pPr>
            <w:r>
              <w:rPr>
                <w:rFonts w:ascii="Century Gothic" w:hAnsi="Century Gothic" w:cs="Segoe UI Semilight"/>
              </w:rPr>
              <w:t>69</w:t>
            </w:r>
          </w:p>
        </w:tc>
      </w:tr>
      <w:tr w:rsidR="00B9107D" w:rsidRPr="0050035B" w:rsidTr="00D07B7F">
        <w:trPr>
          <w:trHeight w:val="459"/>
          <w:jc w:val="center"/>
        </w:trPr>
        <w:tc>
          <w:tcPr>
            <w:tcW w:w="7248" w:type="dxa"/>
          </w:tcPr>
          <w:p w:rsidR="00B9107D" w:rsidRPr="0050035B" w:rsidRDefault="00B9107D" w:rsidP="00B9107D">
            <w:pPr>
              <w:rPr>
                <w:rFonts w:ascii="Century Gothic" w:hAnsi="Century Gothic"/>
                <w:sz w:val="21"/>
                <w:szCs w:val="21"/>
              </w:rPr>
            </w:pPr>
            <w:r w:rsidRPr="0050035B">
              <w:rPr>
                <w:rFonts w:ascii="Century Gothic" w:hAnsi="Century Gothic"/>
                <w:sz w:val="21"/>
                <w:szCs w:val="21"/>
              </w:rPr>
              <w:t>3.</w:t>
            </w:r>
            <w:r>
              <w:rPr>
                <w:rFonts w:ascii="Century Gothic" w:hAnsi="Century Gothic"/>
                <w:sz w:val="21"/>
                <w:szCs w:val="21"/>
              </w:rPr>
              <w:t>2</w:t>
            </w:r>
            <w:r w:rsidRPr="0050035B">
              <w:rPr>
                <w:rFonts w:ascii="Century Gothic" w:hAnsi="Century Gothic"/>
                <w:sz w:val="21"/>
                <w:szCs w:val="21"/>
              </w:rPr>
              <w:t>. Presupuesto de Ingresos Proyectado</w:t>
            </w:r>
          </w:p>
        </w:tc>
        <w:tc>
          <w:tcPr>
            <w:tcW w:w="1557" w:type="dxa"/>
            <w:shd w:val="clear" w:color="auto" w:fill="auto"/>
            <w:vAlign w:val="center"/>
          </w:tcPr>
          <w:p w:rsidR="00B9107D" w:rsidRPr="0042556D" w:rsidRDefault="00B00A2F" w:rsidP="00B9107D">
            <w:pPr>
              <w:spacing w:line="276" w:lineRule="auto"/>
              <w:jc w:val="center"/>
              <w:rPr>
                <w:rFonts w:ascii="Century Gothic" w:hAnsi="Century Gothic" w:cs="Segoe UI Semilight"/>
              </w:rPr>
            </w:pPr>
            <w:r>
              <w:rPr>
                <w:rFonts w:ascii="Century Gothic" w:hAnsi="Century Gothic" w:cs="Segoe UI Semilight"/>
              </w:rPr>
              <w:t>73</w:t>
            </w:r>
          </w:p>
        </w:tc>
      </w:tr>
      <w:tr w:rsidR="00B9107D" w:rsidRPr="0050035B" w:rsidTr="00D07B7F">
        <w:trPr>
          <w:trHeight w:val="459"/>
          <w:jc w:val="center"/>
        </w:trPr>
        <w:tc>
          <w:tcPr>
            <w:tcW w:w="7248" w:type="dxa"/>
          </w:tcPr>
          <w:p w:rsidR="00B9107D" w:rsidRPr="0050035B" w:rsidRDefault="00B9107D" w:rsidP="00B9107D">
            <w:pPr>
              <w:rPr>
                <w:rFonts w:ascii="Century Gothic" w:hAnsi="Century Gothic"/>
                <w:sz w:val="21"/>
                <w:szCs w:val="21"/>
              </w:rPr>
            </w:pPr>
            <w:r w:rsidRPr="0050035B">
              <w:rPr>
                <w:rFonts w:ascii="Century Gothic" w:hAnsi="Century Gothic"/>
                <w:sz w:val="21"/>
                <w:szCs w:val="21"/>
              </w:rPr>
              <w:t>3.</w:t>
            </w:r>
            <w:r>
              <w:rPr>
                <w:rFonts w:ascii="Century Gothic" w:hAnsi="Century Gothic"/>
                <w:sz w:val="21"/>
                <w:szCs w:val="21"/>
              </w:rPr>
              <w:t>3</w:t>
            </w:r>
            <w:r w:rsidRPr="0050035B">
              <w:rPr>
                <w:rFonts w:ascii="Century Gothic" w:hAnsi="Century Gothic"/>
                <w:sz w:val="21"/>
                <w:szCs w:val="21"/>
              </w:rPr>
              <w:t>. Comportamiento Histórico</w:t>
            </w:r>
          </w:p>
        </w:tc>
        <w:tc>
          <w:tcPr>
            <w:tcW w:w="1557" w:type="dxa"/>
            <w:shd w:val="clear" w:color="auto" w:fill="auto"/>
            <w:vAlign w:val="center"/>
          </w:tcPr>
          <w:p w:rsidR="00B9107D" w:rsidRPr="0042556D" w:rsidRDefault="00B00A2F" w:rsidP="00B9107D">
            <w:pPr>
              <w:spacing w:line="276" w:lineRule="auto"/>
              <w:jc w:val="center"/>
              <w:rPr>
                <w:rFonts w:ascii="Century Gothic" w:hAnsi="Century Gothic" w:cs="Segoe UI Semilight"/>
              </w:rPr>
            </w:pPr>
            <w:r>
              <w:rPr>
                <w:rFonts w:ascii="Century Gothic" w:hAnsi="Century Gothic" w:cs="Segoe UI Semilight"/>
              </w:rPr>
              <w:t>73</w:t>
            </w:r>
          </w:p>
        </w:tc>
      </w:tr>
      <w:tr w:rsidR="00B9107D" w:rsidRPr="0050035B" w:rsidTr="00D07B7F">
        <w:trPr>
          <w:trHeight w:val="459"/>
          <w:jc w:val="center"/>
        </w:trPr>
        <w:tc>
          <w:tcPr>
            <w:tcW w:w="7248" w:type="dxa"/>
          </w:tcPr>
          <w:p w:rsidR="00B9107D" w:rsidRPr="0050035B" w:rsidRDefault="00B9107D" w:rsidP="00B9107D">
            <w:pPr>
              <w:rPr>
                <w:rFonts w:ascii="Century Gothic" w:hAnsi="Century Gothic"/>
                <w:sz w:val="21"/>
                <w:szCs w:val="21"/>
              </w:rPr>
            </w:pPr>
            <w:r w:rsidRPr="0050035B">
              <w:rPr>
                <w:rFonts w:ascii="Century Gothic" w:hAnsi="Century Gothic"/>
                <w:sz w:val="21"/>
                <w:szCs w:val="21"/>
              </w:rPr>
              <w:t>3.</w:t>
            </w:r>
            <w:r>
              <w:rPr>
                <w:rFonts w:ascii="Century Gothic" w:hAnsi="Century Gothic"/>
                <w:sz w:val="21"/>
                <w:szCs w:val="21"/>
              </w:rPr>
              <w:t>4</w:t>
            </w:r>
            <w:r w:rsidRPr="0050035B">
              <w:rPr>
                <w:rFonts w:ascii="Century Gothic" w:hAnsi="Century Gothic"/>
                <w:sz w:val="21"/>
                <w:szCs w:val="21"/>
              </w:rPr>
              <w:t>. Resultados y Proyecciones de Ingresos</w:t>
            </w:r>
          </w:p>
        </w:tc>
        <w:tc>
          <w:tcPr>
            <w:tcW w:w="1557" w:type="dxa"/>
            <w:vAlign w:val="center"/>
          </w:tcPr>
          <w:p w:rsidR="00B9107D" w:rsidRPr="0042556D" w:rsidRDefault="00E574B6" w:rsidP="00B9107D">
            <w:pPr>
              <w:spacing w:line="276" w:lineRule="auto"/>
              <w:jc w:val="center"/>
              <w:rPr>
                <w:rFonts w:ascii="Century Gothic" w:hAnsi="Century Gothic" w:cs="Segoe UI Semilight"/>
              </w:rPr>
            </w:pPr>
            <w:r>
              <w:rPr>
                <w:rFonts w:ascii="Century Gothic" w:hAnsi="Century Gothic" w:cs="Segoe UI Semilight"/>
              </w:rPr>
              <w:t>75</w:t>
            </w:r>
          </w:p>
        </w:tc>
      </w:tr>
      <w:tr w:rsidR="00B9107D" w:rsidRPr="0050035B" w:rsidTr="00D07B7F">
        <w:trPr>
          <w:trHeight w:val="459"/>
          <w:jc w:val="center"/>
        </w:trPr>
        <w:tc>
          <w:tcPr>
            <w:tcW w:w="7248" w:type="dxa"/>
          </w:tcPr>
          <w:p w:rsidR="00B9107D" w:rsidRPr="0050035B" w:rsidRDefault="00B9107D" w:rsidP="00B9107D">
            <w:pPr>
              <w:rPr>
                <w:rFonts w:ascii="Maiandra GD" w:hAnsi="Maiandra GD" w:cs="Segoe UI Semilight"/>
                <w:sz w:val="21"/>
                <w:szCs w:val="21"/>
              </w:rPr>
            </w:pPr>
            <w:r w:rsidRPr="0050035B">
              <w:rPr>
                <w:rFonts w:ascii="Century Gothic" w:hAnsi="Century Gothic"/>
                <w:sz w:val="21"/>
                <w:szCs w:val="21"/>
              </w:rPr>
              <w:t>3.</w:t>
            </w:r>
            <w:r>
              <w:rPr>
                <w:rFonts w:ascii="Century Gothic" w:hAnsi="Century Gothic"/>
                <w:sz w:val="21"/>
                <w:szCs w:val="21"/>
              </w:rPr>
              <w:t>5</w:t>
            </w:r>
            <w:r w:rsidRPr="0050035B">
              <w:rPr>
                <w:rFonts w:ascii="Century Gothic" w:hAnsi="Century Gothic"/>
                <w:sz w:val="21"/>
                <w:szCs w:val="21"/>
              </w:rPr>
              <w:t>. Premisas e Indicadores de Política Económica a considerar para las proyecciones presupuestales de ingresos</w:t>
            </w:r>
          </w:p>
        </w:tc>
        <w:tc>
          <w:tcPr>
            <w:tcW w:w="1557" w:type="dxa"/>
            <w:vAlign w:val="center"/>
          </w:tcPr>
          <w:p w:rsidR="00B9107D" w:rsidRPr="0042556D" w:rsidRDefault="00B00A2F" w:rsidP="00B9107D">
            <w:pPr>
              <w:spacing w:line="276" w:lineRule="auto"/>
              <w:jc w:val="center"/>
              <w:rPr>
                <w:rFonts w:ascii="Century Gothic" w:hAnsi="Century Gothic" w:cs="Segoe UI Semilight"/>
              </w:rPr>
            </w:pPr>
            <w:r>
              <w:rPr>
                <w:rFonts w:ascii="Century Gothic" w:hAnsi="Century Gothic" w:cs="Segoe UI Semilight"/>
              </w:rPr>
              <w:t>80</w:t>
            </w:r>
          </w:p>
        </w:tc>
      </w:tr>
      <w:tr w:rsidR="00B9107D" w:rsidRPr="0050035B" w:rsidTr="001D1BB3">
        <w:trPr>
          <w:trHeight w:val="459"/>
          <w:jc w:val="center"/>
        </w:trPr>
        <w:tc>
          <w:tcPr>
            <w:tcW w:w="7248" w:type="dxa"/>
            <w:shd w:val="clear" w:color="auto" w:fill="auto"/>
          </w:tcPr>
          <w:p w:rsidR="00B9107D" w:rsidRPr="0050035B" w:rsidRDefault="00B9107D" w:rsidP="00B9107D">
            <w:pPr>
              <w:rPr>
                <w:rFonts w:ascii="Century Gothic" w:hAnsi="Century Gothic"/>
                <w:sz w:val="21"/>
                <w:szCs w:val="21"/>
              </w:rPr>
            </w:pPr>
            <w:r w:rsidRPr="0050035B">
              <w:rPr>
                <w:rFonts w:ascii="Century Gothic" w:hAnsi="Century Gothic"/>
                <w:sz w:val="21"/>
                <w:szCs w:val="21"/>
              </w:rPr>
              <w:t>3.</w:t>
            </w:r>
            <w:r>
              <w:rPr>
                <w:rFonts w:ascii="Century Gothic" w:hAnsi="Century Gothic"/>
                <w:sz w:val="21"/>
                <w:szCs w:val="21"/>
              </w:rPr>
              <w:t>6</w:t>
            </w:r>
            <w:r w:rsidRPr="0050035B">
              <w:rPr>
                <w:rFonts w:ascii="Century Gothic" w:hAnsi="Century Gothic"/>
                <w:sz w:val="21"/>
                <w:szCs w:val="21"/>
              </w:rPr>
              <w:t>.   Objetivos de la Política de Ingresos</w:t>
            </w:r>
          </w:p>
        </w:tc>
        <w:tc>
          <w:tcPr>
            <w:tcW w:w="1557" w:type="dxa"/>
            <w:shd w:val="clear" w:color="auto" w:fill="auto"/>
            <w:vAlign w:val="center"/>
          </w:tcPr>
          <w:p w:rsidR="00B9107D" w:rsidRPr="0042556D" w:rsidRDefault="00B00A2F" w:rsidP="00B9107D">
            <w:pPr>
              <w:spacing w:line="276" w:lineRule="auto"/>
              <w:ind w:left="720" w:hanging="720"/>
              <w:jc w:val="center"/>
              <w:rPr>
                <w:rFonts w:ascii="Century Gothic" w:hAnsi="Century Gothic" w:cs="Segoe UI Semilight"/>
              </w:rPr>
            </w:pPr>
            <w:r>
              <w:rPr>
                <w:rFonts w:ascii="Century Gothic" w:hAnsi="Century Gothic" w:cs="Segoe UI Semilight"/>
              </w:rPr>
              <w:t>85</w:t>
            </w:r>
          </w:p>
        </w:tc>
      </w:tr>
      <w:tr w:rsidR="00B9107D" w:rsidRPr="0050035B" w:rsidTr="00D07B7F">
        <w:trPr>
          <w:trHeight w:val="459"/>
          <w:jc w:val="center"/>
        </w:trPr>
        <w:tc>
          <w:tcPr>
            <w:tcW w:w="7248" w:type="dxa"/>
            <w:vAlign w:val="center"/>
          </w:tcPr>
          <w:p w:rsidR="00B9107D" w:rsidRPr="0050035B" w:rsidRDefault="00B9107D" w:rsidP="00B9107D">
            <w:pPr>
              <w:rPr>
                <w:rFonts w:ascii="Century Gothic" w:hAnsi="Century Gothic"/>
                <w:sz w:val="21"/>
                <w:szCs w:val="21"/>
              </w:rPr>
            </w:pPr>
            <w:r w:rsidRPr="0050035B">
              <w:rPr>
                <w:rFonts w:ascii="Century Gothic" w:hAnsi="Century Gothic"/>
                <w:sz w:val="21"/>
                <w:szCs w:val="21"/>
              </w:rPr>
              <w:t>3.</w:t>
            </w:r>
            <w:r>
              <w:rPr>
                <w:rFonts w:ascii="Century Gothic" w:hAnsi="Century Gothic"/>
                <w:sz w:val="21"/>
                <w:szCs w:val="21"/>
              </w:rPr>
              <w:t>7</w:t>
            </w:r>
            <w:r w:rsidRPr="0050035B">
              <w:rPr>
                <w:rFonts w:ascii="Century Gothic" w:hAnsi="Century Gothic"/>
                <w:sz w:val="21"/>
                <w:szCs w:val="21"/>
              </w:rPr>
              <w:t>. Política de Financiamiento en el Municipio de Monterrey</w:t>
            </w:r>
          </w:p>
        </w:tc>
        <w:tc>
          <w:tcPr>
            <w:tcW w:w="1557" w:type="dxa"/>
            <w:shd w:val="clear" w:color="auto" w:fill="auto"/>
            <w:vAlign w:val="center"/>
          </w:tcPr>
          <w:p w:rsidR="00B9107D" w:rsidRPr="0042556D" w:rsidRDefault="00B00A2F" w:rsidP="00B9107D">
            <w:pPr>
              <w:spacing w:line="276" w:lineRule="auto"/>
              <w:jc w:val="center"/>
              <w:rPr>
                <w:rFonts w:ascii="Century Gothic" w:hAnsi="Century Gothic" w:cs="Segoe UI Semilight"/>
              </w:rPr>
            </w:pPr>
            <w:r>
              <w:rPr>
                <w:rFonts w:ascii="Century Gothic" w:hAnsi="Century Gothic" w:cs="Segoe UI Semilight"/>
              </w:rPr>
              <w:t>86</w:t>
            </w:r>
          </w:p>
        </w:tc>
      </w:tr>
      <w:tr w:rsidR="00B9107D" w:rsidRPr="0050035B" w:rsidTr="004C0FD5">
        <w:trPr>
          <w:trHeight w:val="61"/>
          <w:jc w:val="center"/>
        </w:trPr>
        <w:tc>
          <w:tcPr>
            <w:tcW w:w="7248" w:type="dxa"/>
            <w:vAlign w:val="center"/>
          </w:tcPr>
          <w:p w:rsidR="00B9107D" w:rsidRPr="0050035B" w:rsidRDefault="00B9107D" w:rsidP="00B9107D">
            <w:pPr>
              <w:rPr>
                <w:rFonts w:ascii="Century Gothic" w:hAnsi="Century Gothic"/>
                <w:sz w:val="6"/>
                <w:szCs w:val="6"/>
              </w:rPr>
            </w:pPr>
          </w:p>
        </w:tc>
        <w:tc>
          <w:tcPr>
            <w:tcW w:w="1557" w:type="dxa"/>
            <w:shd w:val="clear" w:color="auto" w:fill="auto"/>
            <w:vAlign w:val="center"/>
          </w:tcPr>
          <w:p w:rsidR="00B9107D" w:rsidRPr="0042556D" w:rsidRDefault="00B9107D" w:rsidP="00B9107D">
            <w:pPr>
              <w:spacing w:line="276" w:lineRule="auto"/>
              <w:jc w:val="center"/>
              <w:rPr>
                <w:rFonts w:ascii="Century Gothic" w:hAnsi="Century Gothic" w:cs="Segoe UI Semilight"/>
                <w:sz w:val="6"/>
                <w:szCs w:val="6"/>
              </w:rPr>
            </w:pPr>
          </w:p>
        </w:tc>
      </w:tr>
      <w:tr w:rsidR="00B9107D" w:rsidRPr="0050035B" w:rsidTr="00453DB9">
        <w:trPr>
          <w:trHeight w:val="518"/>
          <w:jc w:val="center"/>
        </w:trPr>
        <w:tc>
          <w:tcPr>
            <w:tcW w:w="7248" w:type="dxa"/>
          </w:tcPr>
          <w:p w:rsidR="00B9107D" w:rsidRPr="0050035B" w:rsidRDefault="00B9107D" w:rsidP="00B9107D">
            <w:pPr>
              <w:rPr>
                <w:rFonts w:ascii="Maiandra GD" w:hAnsi="Maiandra GD" w:cs="Segoe UI Semilight"/>
                <w:b/>
                <w:sz w:val="21"/>
                <w:szCs w:val="21"/>
              </w:rPr>
            </w:pPr>
            <w:r w:rsidRPr="0050035B">
              <w:rPr>
                <w:rFonts w:ascii="Century Gothic" w:hAnsi="Century Gothic"/>
                <w:b/>
                <w:sz w:val="21"/>
                <w:szCs w:val="21"/>
              </w:rPr>
              <w:t xml:space="preserve">4. Descripción de las Estimaciones </w:t>
            </w:r>
          </w:p>
        </w:tc>
        <w:tc>
          <w:tcPr>
            <w:tcW w:w="1557" w:type="dxa"/>
            <w:vAlign w:val="center"/>
          </w:tcPr>
          <w:p w:rsidR="00B9107D" w:rsidRPr="0042556D" w:rsidRDefault="00B00A2F" w:rsidP="00B9107D">
            <w:pPr>
              <w:spacing w:line="276" w:lineRule="auto"/>
              <w:jc w:val="center"/>
              <w:rPr>
                <w:rFonts w:ascii="Century Gothic" w:hAnsi="Century Gothic" w:cs="Segoe UI Semilight"/>
                <w:sz w:val="21"/>
                <w:szCs w:val="21"/>
              </w:rPr>
            </w:pPr>
            <w:r>
              <w:rPr>
                <w:rFonts w:ascii="Century Gothic" w:hAnsi="Century Gothic" w:cs="Segoe UI Semilight"/>
                <w:sz w:val="21"/>
                <w:szCs w:val="21"/>
              </w:rPr>
              <w:t>90</w:t>
            </w:r>
          </w:p>
        </w:tc>
      </w:tr>
      <w:tr w:rsidR="00B9107D" w:rsidRPr="0050035B" w:rsidTr="00D07B7F">
        <w:trPr>
          <w:trHeight w:val="459"/>
          <w:jc w:val="center"/>
        </w:trPr>
        <w:tc>
          <w:tcPr>
            <w:tcW w:w="7248" w:type="dxa"/>
          </w:tcPr>
          <w:p w:rsidR="00B9107D" w:rsidRPr="0050035B" w:rsidRDefault="00B9107D" w:rsidP="00794C0D">
            <w:pPr>
              <w:rPr>
                <w:rFonts w:ascii="Century Gothic" w:hAnsi="Century Gothic"/>
                <w:sz w:val="21"/>
                <w:szCs w:val="21"/>
              </w:rPr>
            </w:pPr>
            <w:r w:rsidRPr="0050035B">
              <w:rPr>
                <w:rFonts w:ascii="Century Gothic" w:hAnsi="Century Gothic"/>
                <w:sz w:val="21"/>
                <w:szCs w:val="21"/>
              </w:rPr>
              <w:t>4.1. Distribución general del Proyecto de Presupuesto de Ingresos 202</w:t>
            </w:r>
            <w:r w:rsidR="00794C0D">
              <w:rPr>
                <w:rFonts w:ascii="Century Gothic" w:hAnsi="Century Gothic"/>
                <w:sz w:val="21"/>
                <w:szCs w:val="21"/>
              </w:rPr>
              <w:t>2</w:t>
            </w:r>
          </w:p>
        </w:tc>
        <w:tc>
          <w:tcPr>
            <w:tcW w:w="1557" w:type="dxa"/>
            <w:vAlign w:val="center"/>
          </w:tcPr>
          <w:p w:rsidR="00B9107D" w:rsidRPr="0042556D" w:rsidRDefault="00B00A2F" w:rsidP="00B9107D">
            <w:pPr>
              <w:spacing w:line="276" w:lineRule="auto"/>
              <w:jc w:val="center"/>
              <w:rPr>
                <w:rFonts w:ascii="Century Gothic" w:hAnsi="Century Gothic" w:cs="Segoe UI Semilight"/>
                <w:sz w:val="21"/>
                <w:szCs w:val="21"/>
              </w:rPr>
            </w:pPr>
            <w:r>
              <w:rPr>
                <w:rFonts w:ascii="Century Gothic" w:hAnsi="Century Gothic" w:cs="Segoe UI Semilight"/>
                <w:sz w:val="21"/>
                <w:szCs w:val="21"/>
              </w:rPr>
              <w:t>90</w:t>
            </w:r>
          </w:p>
        </w:tc>
      </w:tr>
      <w:tr w:rsidR="00B9107D" w:rsidRPr="0050035B" w:rsidTr="00D07B7F">
        <w:trPr>
          <w:trHeight w:val="459"/>
          <w:jc w:val="center"/>
        </w:trPr>
        <w:tc>
          <w:tcPr>
            <w:tcW w:w="7248" w:type="dxa"/>
          </w:tcPr>
          <w:p w:rsidR="00B9107D" w:rsidRPr="0050035B" w:rsidRDefault="00B9107D" w:rsidP="00794C0D">
            <w:pPr>
              <w:rPr>
                <w:rFonts w:ascii="Maiandra GD" w:hAnsi="Maiandra GD" w:cs="Segoe UI Semilight"/>
                <w:sz w:val="21"/>
                <w:szCs w:val="21"/>
              </w:rPr>
            </w:pPr>
            <w:r w:rsidRPr="0050035B">
              <w:rPr>
                <w:rFonts w:ascii="Century Gothic" w:hAnsi="Century Gothic"/>
                <w:sz w:val="21"/>
                <w:szCs w:val="21"/>
              </w:rPr>
              <w:t>4.2. Distribución de los “</w:t>
            </w:r>
            <w:r w:rsidRPr="0050035B">
              <w:rPr>
                <w:rFonts w:ascii="Century Gothic" w:hAnsi="Century Gothic"/>
                <w:i/>
                <w:sz w:val="21"/>
                <w:szCs w:val="21"/>
              </w:rPr>
              <w:t>Ingresos Propios”</w:t>
            </w:r>
            <w:r w:rsidRPr="0050035B">
              <w:rPr>
                <w:rFonts w:ascii="Century Gothic" w:hAnsi="Century Gothic"/>
                <w:sz w:val="21"/>
                <w:szCs w:val="21"/>
              </w:rPr>
              <w:t xml:space="preserve"> presupuestados para el 202</w:t>
            </w:r>
            <w:r w:rsidR="00794C0D">
              <w:rPr>
                <w:rFonts w:ascii="Century Gothic" w:hAnsi="Century Gothic"/>
                <w:sz w:val="21"/>
                <w:szCs w:val="21"/>
              </w:rPr>
              <w:t>2</w:t>
            </w:r>
          </w:p>
        </w:tc>
        <w:tc>
          <w:tcPr>
            <w:tcW w:w="1557" w:type="dxa"/>
            <w:vAlign w:val="center"/>
          </w:tcPr>
          <w:p w:rsidR="00B9107D" w:rsidRPr="0042556D" w:rsidRDefault="00B00A2F" w:rsidP="00B9107D">
            <w:pPr>
              <w:spacing w:line="276" w:lineRule="auto"/>
              <w:jc w:val="center"/>
              <w:rPr>
                <w:rFonts w:ascii="Century Gothic" w:hAnsi="Century Gothic" w:cs="Segoe UI Semilight"/>
                <w:sz w:val="21"/>
                <w:szCs w:val="21"/>
              </w:rPr>
            </w:pPr>
            <w:r>
              <w:rPr>
                <w:rFonts w:ascii="Century Gothic" w:hAnsi="Century Gothic" w:cs="Segoe UI Semilight"/>
                <w:sz w:val="21"/>
                <w:szCs w:val="21"/>
              </w:rPr>
              <w:t>90</w:t>
            </w:r>
          </w:p>
        </w:tc>
      </w:tr>
      <w:tr w:rsidR="00B9107D" w:rsidRPr="0050035B" w:rsidTr="00D07B7F">
        <w:trPr>
          <w:trHeight w:val="459"/>
          <w:jc w:val="center"/>
        </w:trPr>
        <w:tc>
          <w:tcPr>
            <w:tcW w:w="7248" w:type="dxa"/>
          </w:tcPr>
          <w:p w:rsidR="00B9107D" w:rsidRPr="0050035B" w:rsidRDefault="00B9107D" w:rsidP="00794C0D">
            <w:pPr>
              <w:rPr>
                <w:rFonts w:ascii="Maiandra GD" w:hAnsi="Maiandra GD" w:cs="Segoe UI Semilight"/>
                <w:sz w:val="21"/>
                <w:szCs w:val="21"/>
              </w:rPr>
            </w:pPr>
            <w:r w:rsidRPr="0050035B">
              <w:rPr>
                <w:rFonts w:ascii="Century Gothic" w:hAnsi="Century Gothic"/>
                <w:sz w:val="21"/>
                <w:szCs w:val="21"/>
              </w:rPr>
              <w:t>4.3. Distribución de los Ingresos por Concepto de “</w:t>
            </w:r>
            <w:r w:rsidRPr="0050035B">
              <w:rPr>
                <w:rFonts w:ascii="Century Gothic" w:hAnsi="Century Gothic"/>
                <w:i/>
                <w:sz w:val="21"/>
                <w:szCs w:val="21"/>
              </w:rPr>
              <w:t>Impuestos”</w:t>
            </w:r>
            <w:r w:rsidRPr="0050035B">
              <w:rPr>
                <w:rFonts w:ascii="Century Gothic" w:hAnsi="Century Gothic"/>
                <w:sz w:val="21"/>
                <w:szCs w:val="21"/>
              </w:rPr>
              <w:t xml:space="preserve"> Presupuestados para el 202</w:t>
            </w:r>
            <w:r w:rsidR="00794C0D">
              <w:rPr>
                <w:rFonts w:ascii="Century Gothic" w:hAnsi="Century Gothic"/>
                <w:sz w:val="21"/>
                <w:szCs w:val="21"/>
              </w:rPr>
              <w:t>2</w:t>
            </w:r>
          </w:p>
        </w:tc>
        <w:tc>
          <w:tcPr>
            <w:tcW w:w="1557" w:type="dxa"/>
            <w:vAlign w:val="center"/>
          </w:tcPr>
          <w:p w:rsidR="00B9107D" w:rsidRPr="0042556D" w:rsidRDefault="00B00A2F" w:rsidP="00B9107D">
            <w:pPr>
              <w:spacing w:line="276" w:lineRule="auto"/>
              <w:jc w:val="center"/>
              <w:rPr>
                <w:rFonts w:ascii="Century Gothic" w:hAnsi="Century Gothic" w:cs="Segoe UI Semilight"/>
                <w:sz w:val="21"/>
                <w:szCs w:val="21"/>
              </w:rPr>
            </w:pPr>
            <w:r>
              <w:rPr>
                <w:rFonts w:ascii="Century Gothic" w:hAnsi="Century Gothic" w:cs="Segoe UI Semilight"/>
                <w:sz w:val="21"/>
                <w:szCs w:val="21"/>
              </w:rPr>
              <w:t>93</w:t>
            </w:r>
          </w:p>
        </w:tc>
      </w:tr>
      <w:tr w:rsidR="00B9107D" w:rsidRPr="0050035B" w:rsidTr="00D07B7F">
        <w:trPr>
          <w:trHeight w:val="459"/>
          <w:jc w:val="center"/>
        </w:trPr>
        <w:tc>
          <w:tcPr>
            <w:tcW w:w="7248" w:type="dxa"/>
          </w:tcPr>
          <w:p w:rsidR="00B9107D" w:rsidRPr="0050035B" w:rsidRDefault="00B9107D" w:rsidP="00794C0D">
            <w:pPr>
              <w:rPr>
                <w:rFonts w:ascii="Maiandra GD" w:hAnsi="Maiandra GD" w:cs="Segoe UI Semilight"/>
                <w:sz w:val="21"/>
                <w:szCs w:val="21"/>
              </w:rPr>
            </w:pPr>
            <w:r w:rsidRPr="0050035B">
              <w:rPr>
                <w:rFonts w:ascii="Century Gothic" w:hAnsi="Century Gothic"/>
                <w:sz w:val="21"/>
                <w:szCs w:val="21"/>
              </w:rPr>
              <w:t>4.4. Distribución de los Ingresos por Concepto de “</w:t>
            </w:r>
            <w:r w:rsidRPr="0050035B">
              <w:rPr>
                <w:rFonts w:ascii="Century Gothic" w:hAnsi="Century Gothic"/>
                <w:i/>
                <w:sz w:val="21"/>
                <w:szCs w:val="21"/>
              </w:rPr>
              <w:t>Derechos, Productos y Aprovechamientos”</w:t>
            </w:r>
            <w:r w:rsidRPr="0050035B">
              <w:rPr>
                <w:rFonts w:ascii="Century Gothic" w:hAnsi="Century Gothic"/>
                <w:sz w:val="21"/>
                <w:szCs w:val="21"/>
              </w:rPr>
              <w:t xml:space="preserve"> Presupuestados para el 202</w:t>
            </w:r>
            <w:r w:rsidR="00794C0D">
              <w:rPr>
                <w:rFonts w:ascii="Century Gothic" w:hAnsi="Century Gothic"/>
                <w:sz w:val="21"/>
                <w:szCs w:val="21"/>
              </w:rPr>
              <w:t>2</w:t>
            </w:r>
          </w:p>
        </w:tc>
        <w:tc>
          <w:tcPr>
            <w:tcW w:w="1557" w:type="dxa"/>
            <w:vAlign w:val="center"/>
          </w:tcPr>
          <w:p w:rsidR="00B9107D" w:rsidRPr="0042556D" w:rsidRDefault="00B00A2F" w:rsidP="00B9107D">
            <w:pPr>
              <w:spacing w:line="276" w:lineRule="auto"/>
              <w:jc w:val="center"/>
              <w:rPr>
                <w:rFonts w:ascii="Century Gothic" w:hAnsi="Century Gothic" w:cs="Segoe UI Semilight"/>
                <w:sz w:val="21"/>
                <w:szCs w:val="21"/>
              </w:rPr>
            </w:pPr>
            <w:r>
              <w:rPr>
                <w:rFonts w:ascii="Century Gothic" w:hAnsi="Century Gothic" w:cs="Segoe UI Semilight"/>
                <w:sz w:val="21"/>
                <w:szCs w:val="21"/>
              </w:rPr>
              <w:t>94</w:t>
            </w:r>
          </w:p>
        </w:tc>
      </w:tr>
      <w:tr w:rsidR="00B9107D" w:rsidRPr="0050035B" w:rsidTr="00D07B7F">
        <w:trPr>
          <w:trHeight w:val="459"/>
          <w:jc w:val="center"/>
        </w:trPr>
        <w:tc>
          <w:tcPr>
            <w:tcW w:w="7248" w:type="dxa"/>
          </w:tcPr>
          <w:p w:rsidR="00B9107D" w:rsidRPr="0050035B" w:rsidRDefault="00B9107D" w:rsidP="00794C0D">
            <w:pPr>
              <w:rPr>
                <w:rFonts w:ascii="Maiandra GD" w:hAnsi="Maiandra GD" w:cs="Segoe UI Semilight"/>
                <w:sz w:val="21"/>
                <w:szCs w:val="21"/>
              </w:rPr>
            </w:pPr>
            <w:r w:rsidRPr="0050035B">
              <w:rPr>
                <w:rFonts w:ascii="Century Gothic" w:hAnsi="Century Gothic"/>
                <w:sz w:val="21"/>
                <w:szCs w:val="21"/>
              </w:rPr>
              <w:t>4.5. Distribución de los Ingresos por Concepto de “</w:t>
            </w:r>
            <w:r w:rsidRPr="0050035B">
              <w:rPr>
                <w:rFonts w:ascii="Century Gothic" w:hAnsi="Century Gothic"/>
                <w:i/>
                <w:sz w:val="21"/>
                <w:szCs w:val="21"/>
              </w:rPr>
              <w:t>Participaciones, Aportaciones, Transferencias, Asignaciones, Subsidios y Otras Ayudas</w:t>
            </w:r>
            <w:r w:rsidRPr="0050035B">
              <w:rPr>
                <w:rFonts w:ascii="Century Gothic" w:hAnsi="Century Gothic"/>
                <w:sz w:val="21"/>
                <w:szCs w:val="21"/>
              </w:rPr>
              <w:t>” Presupuestados para el 202</w:t>
            </w:r>
            <w:r w:rsidR="00794C0D">
              <w:rPr>
                <w:rFonts w:ascii="Century Gothic" w:hAnsi="Century Gothic"/>
                <w:sz w:val="21"/>
                <w:szCs w:val="21"/>
              </w:rPr>
              <w:t>2</w:t>
            </w:r>
          </w:p>
        </w:tc>
        <w:tc>
          <w:tcPr>
            <w:tcW w:w="1557" w:type="dxa"/>
            <w:vAlign w:val="center"/>
          </w:tcPr>
          <w:p w:rsidR="00B9107D" w:rsidRPr="0042556D" w:rsidRDefault="00B00A2F" w:rsidP="00B9107D">
            <w:pPr>
              <w:spacing w:line="276" w:lineRule="auto"/>
              <w:jc w:val="center"/>
              <w:rPr>
                <w:rFonts w:ascii="Century Gothic" w:hAnsi="Century Gothic" w:cs="Segoe UI Semilight"/>
                <w:sz w:val="21"/>
                <w:szCs w:val="21"/>
              </w:rPr>
            </w:pPr>
            <w:r>
              <w:rPr>
                <w:rFonts w:ascii="Century Gothic" w:hAnsi="Century Gothic" w:cs="Segoe UI Semilight"/>
                <w:sz w:val="21"/>
                <w:szCs w:val="21"/>
              </w:rPr>
              <w:t>97</w:t>
            </w:r>
          </w:p>
        </w:tc>
      </w:tr>
      <w:tr w:rsidR="00B9107D" w:rsidRPr="0050035B" w:rsidTr="00D07B7F">
        <w:trPr>
          <w:trHeight w:val="56"/>
          <w:jc w:val="center"/>
        </w:trPr>
        <w:tc>
          <w:tcPr>
            <w:tcW w:w="7248" w:type="dxa"/>
          </w:tcPr>
          <w:p w:rsidR="00B9107D" w:rsidRPr="0050035B" w:rsidRDefault="00B9107D" w:rsidP="00B9107D">
            <w:pPr>
              <w:rPr>
                <w:rFonts w:ascii="Maiandra GD" w:hAnsi="Maiandra GD" w:cs="Segoe UI Semilight"/>
                <w:sz w:val="6"/>
                <w:szCs w:val="6"/>
              </w:rPr>
            </w:pPr>
          </w:p>
        </w:tc>
        <w:tc>
          <w:tcPr>
            <w:tcW w:w="1557" w:type="dxa"/>
            <w:vAlign w:val="center"/>
          </w:tcPr>
          <w:p w:rsidR="00B9107D" w:rsidRPr="0042556D" w:rsidRDefault="00B9107D" w:rsidP="00B9107D">
            <w:pPr>
              <w:spacing w:line="276" w:lineRule="auto"/>
              <w:jc w:val="center"/>
              <w:rPr>
                <w:rFonts w:ascii="Century Gothic" w:hAnsi="Century Gothic" w:cs="Segoe UI Semilight"/>
                <w:sz w:val="6"/>
                <w:szCs w:val="6"/>
              </w:rPr>
            </w:pPr>
          </w:p>
        </w:tc>
      </w:tr>
      <w:tr w:rsidR="00B9107D" w:rsidRPr="0050035B" w:rsidTr="00453DB9">
        <w:trPr>
          <w:trHeight w:val="269"/>
          <w:jc w:val="center"/>
        </w:trPr>
        <w:tc>
          <w:tcPr>
            <w:tcW w:w="7248" w:type="dxa"/>
          </w:tcPr>
          <w:p w:rsidR="00B9107D" w:rsidRPr="0050035B" w:rsidRDefault="00B9107D" w:rsidP="00B9107D">
            <w:pPr>
              <w:rPr>
                <w:rFonts w:ascii="Century Gothic" w:hAnsi="Century Gothic"/>
                <w:sz w:val="21"/>
                <w:szCs w:val="21"/>
              </w:rPr>
            </w:pPr>
            <w:r w:rsidRPr="0050035B">
              <w:rPr>
                <w:rFonts w:ascii="Century Gothic" w:hAnsi="Century Gothic"/>
                <w:sz w:val="21"/>
                <w:szCs w:val="21"/>
              </w:rPr>
              <w:t>4.6. Resumen General</w:t>
            </w:r>
          </w:p>
        </w:tc>
        <w:tc>
          <w:tcPr>
            <w:tcW w:w="1557" w:type="dxa"/>
            <w:vAlign w:val="center"/>
          </w:tcPr>
          <w:p w:rsidR="00B9107D" w:rsidRPr="0042556D" w:rsidRDefault="00B00A2F" w:rsidP="00B9107D">
            <w:pPr>
              <w:spacing w:line="276" w:lineRule="auto"/>
              <w:jc w:val="center"/>
              <w:rPr>
                <w:rFonts w:ascii="Century Gothic" w:hAnsi="Century Gothic" w:cs="Segoe UI Semilight"/>
                <w:sz w:val="21"/>
                <w:szCs w:val="21"/>
              </w:rPr>
            </w:pPr>
            <w:r>
              <w:rPr>
                <w:rFonts w:ascii="Century Gothic" w:hAnsi="Century Gothic" w:cs="Segoe UI Semilight"/>
                <w:sz w:val="21"/>
                <w:szCs w:val="21"/>
              </w:rPr>
              <w:t>102</w:t>
            </w:r>
          </w:p>
        </w:tc>
      </w:tr>
      <w:tr w:rsidR="00B9107D" w:rsidRPr="0050035B" w:rsidTr="00453DB9">
        <w:trPr>
          <w:trHeight w:val="261"/>
          <w:jc w:val="center"/>
        </w:trPr>
        <w:tc>
          <w:tcPr>
            <w:tcW w:w="7248" w:type="dxa"/>
          </w:tcPr>
          <w:p w:rsidR="00B9107D" w:rsidRPr="0050035B" w:rsidRDefault="00B9107D" w:rsidP="00B9107D">
            <w:pPr>
              <w:rPr>
                <w:rFonts w:ascii="Century Gothic" w:hAnsi="Century Gothic"/>
                <w:sz w:val="21"/>
                <w:szCs w:val="21"/>
              </w:rPr>
            </w:pPr>
            <w:r w:rsidRPr="0050035B">
              <w:rPr>
                <w:rFonts w:ascii="Century Gothic" w:hAnsi="Century Gothic"/>
                <w:sz w:val="21"/>
                <w:szCs w:val="21"/>
              </w:rPr>
              <w:t>4.7. Formato de Iniciativa de Ley de Ingresos Armonizada</w:t>
            </w:r>
          </w:p>
        </w:tc>
        <w:tc>
          <w:tcPr>
            <w:tcW w:w="1557" w:type="dxa"/>
            <w:vAlign w:val="center"/>
          </w:tcPr>
          <w:p w:rsidR="00B9107D" w:rsidRPr="0042556D" w:rsidRDefault="00B00A2F" w:rsidP="00B9107D">
            <w:pPr>
              <w:spacing w:line="276" w:lineRule="auto"/>
              <w:jc w:val="center"/>
              <w:rPr>
                <w:rFonts w:ascii="Century Gothic" w:hAnsi="Century Gothic" w:cs="Segoe UI Semilight"/>
                <w:sz w:val="21"/>
                <w:szCs w:val="21"/>
              </w:rPr>
            </w:pPr>
            <w:r>
              <w:rPr>
                <w:rFonts w:ascii="Century Gothic" w:hAnsi="Century Gothic" w:cs="Segoe UI Semilight"/>
                <w:sz w:val="21"/>
                <w:szCs w:val="21"/>
              </w:rPr>
              <w:t>103</w:t>
            </w:r>
          </w:p>
        </w:tc>
      </w:tr>
      <w:tr w:rsidR="00B9107D" w:rsidRPr="0050035B" w:rsidTr="00453DB9">
        <w:trPr>
          <w:trHeight w:val="280"/>
          <w:jc w:val="center"/>
        </w:trPr>
        <w:tc>
          <w:tcPr>
            <w:tcW w:w="7248" w:type="dxa"/>
          </w:tcPr>
          <w:p w:rsidR="00B9107D" w:rsidRPr="0050035B" w:rsidRDefault="00B9107D" w:rsidP="00B9107D">
            <w:pPr>
              <w:rPr>
                <w:rFonts w:ascii="Century Gothic" w:hAnsi="Century Gothic"/>
                <w:b/>
                <w:sz w:val="21"/>
                <w:szCs w:val="21"/>
              </w:rPr>
            </w:pPr>
            <w:r w:rsidRPr="0050035B">
              <w:rPr>
                <w:rFonts w:ascii="Century Gothic" w:hAnsi="Century Gothic"/>
                <w:b/>
                <w:sz w:val="21"/>
                <w:szCs w:val="21"/>
              </w:rPr>
              <w:t>5. Glosario</w:t>
            </w:r>
          </w:p>
        </w:tc>
        <w:tc>
          <w:tcPr>
            <w:tcW w:w="1557" w:type="dxa"/>
            <w:vAlign w:val="center"/>
          </w:tcPr>
          <w:p w:rsidR="00B9107D" w:rsidRPr="0042556D" w:rsidRDefault="00B00A2F" w:rsidP="00B9107D">
            <w:pPr>
              <w:spacing w:line="276" w:lineRule="auto"/>
              <w:jc w:val="center"/>
              <w:rPr>
                <w:rFonts w:ascii="Century Gothic" w:hAnsi="Century Gothic" w:cs="Segoe UI Semilight"/>
                <w:sz w:val="21"/>
                <w:szCs w:val="21"/>
              </w:rPr>
            </w:pPr>
            <w:r>
              <w:rPr>
                <w:rFonts w:ascii="Century Gothic" w:hAnsi="Century Gothic" w:cs="Segoe UI Semilight"/>
                <w:sz w:val="21"/>
                <w:szCs w:val="21"/>
              </w:rPr>
              <w:t>105</w:t>
            </w:r>
          </w:p>
        </w:tc>
      </w:tr>
    </w:tbl>
    <w:p w:rsidR="007536C1" w:rsidRPr="0050035B" w:rsidRDefault="007536C1">
      <w:pPr>
        <w:rPr>
          <w:rFonts w:ascii="Century Gothic" w:hAnsi="Century Gothic"/>
          <w:b/>
          <w:lang w:val="es-MX"/>
        </w:rPr>
      </w:pPr>
      <w:r w:rsidRPr="0050035B">
        <w:rPr>
          <w:rFonts w:ascii="Century Gothic" w:hAnsi="Century Gothic"/>
          <w:b/>
          <w:lang w:val="es-MX"/>
        </w:rPr>
        <w:br w:type="page"/>
      </w:r>
    </w:p>
    <w:p w:rsidR="00DB26DD" w:rsidRPr="0050035B" w:rsidRDefault="00DB26DD" w:rsidP="00665360">
      <w:pPr>
        <w:tabs>
          <w:tab w:val="left" w:pos="4678"/>
        </w:tabs>
        <w:spacing w:line="360" w:lineRule="auto"/>
        <w:jc w:val="center"/>
        <w:rPr>
          <w:rFonts w:ascii="Century Gothic" w:hAnsi="Century Gothic"/>
          <w:b/>
          <w:lang w:val="es-MX"/>
        </w:rPr>
      </w:pPr>
      <w:r w:rsidRPr="0050035B">
        <w:rPr>
          <w:rFonts w:ascii="Century Gothic" w:hAnsi="Century Gothic"/>
          <w:b/>
          <w:lang w:val="es-MX"/>
        </w:rPr>
        <w:lastRenderedPageBreak/>
        <w:t>PRESENTACIÓN</w:t>
      </w:r>
    </w:p>
    <w:p w:rsidR="003E784D" w:rsidRPr="0050035B" w:rsidRDefault="003E784D" w:rsidP="00DD1E43">
      <w:pPr>
        <w:tabs>
          <w:tab w:val="left" w:pos="3544"/>
        </w:tabs>
        <w:spacing w:line="360" w:lineRule="auto"/>
        <w:rPr>
          <w:rFonts w:ascii="Century Gothic" w:hAnsi="Century Gothic"/>
          <w:i/>
          <w:lang w:val="es-MX"/>
        </w:rPr>
      </w:pPr>
    </w:p>
    <w:p w:rsidR="00724E5D" w:rsidRPr="0050035B" w:rsidRDefault="00724E5D" w:rsidP="00724E5D">
      <w:pPr>
        <w:spacing w:line="360" w:lineRule="auto"/>
        <w:jc w:val="both"/>
        <w:rPr>
          <w:rFonts w:ascii="Century Gothic" w:hAnsi="Century Gothic"/>
          <w:i/>
          <w:lang w:val="es-MX"/>
        </w:rPr>
      </w:pPr>
      <w:r>
        <w:rPr>
          <w:rFonts w:ascii="Century Gothic" w:hAnsi="Century Gothic"/>
          <w:i/>
          <w:lang w:val="es-MX"/>
        </w:rPr>
        <w:t>L</w:t>
      </w:r>
      <w:r w:rsidR="00DE53D4" w:rsidRPr="0050035B">
        <w:rPr>
          <w:rFonts w:ascii="Century Gothic" w:hAnsi="Century Gothic"/>
          <w:i/>
          <w:lang w:val="es-MX"/>
        </w:rPr>
        <w:t>a elaboración del</w:t>
      </w:r>
      <w:r>
        <w:rPr>
          <w:rFonts w:ascii="Century Gothic" w:hAnsi="Century Gothic"/>
          <w:i/>
          <w:lang w:val="es-MX"/>
        </w:rPr>
        <w:t xml:space="preserve"> </w:t>
      </w:r>
      <w:r w:rsidRPr="0050035B">
        <w:rPr>
          <w:rFonts w:ascii="Century Gothic" w:hAnsi="Century Gothic"/>
          <w:i/>
          <w:lang w:val="es-MX"/>
        </w:rPr>
        <w:t>Proyecto de Presupuesto de Ingresos</w:t>
      </w:r>
      <w:r w:rsidR="0010622F">
        <w:rPr>
          <w:rStyle w:val="Refdenotaalpie"/>
          <w:rFonts w:ascii="Century Gothic" w:hAnsi="Century Gothic"/>
          <w:i/>
          <w:lang w:val="es-MX"/>
        </w:rPr>
        <w:footnoteReference w:id="2"/>
      </w:r>
      <w:r w:rsidRPr="0050035B">
        <w:rPr>
          <w:rFonts w:ascii="Century Gothic" w:hAnsi="Century Gothic"/>
          <w:i/>
          <w:lang w:val="es-MX"/>
        </w:rPr>
        <w:t xml:space="preserve"> para el ejercicio fiscal 2022 requirió</w:t>
      </w:r>
      <w:r w:rsidR="00DE53D4" w:rsidRPr="0050035B">
        <w:rPr>
          <w:rFonts w:ascii="Century Gothic" w:hAnsi="Century Gothic"/>
          <w:i/>
          <w:lang w:val="es-MX"/>
        </w:rPr>
        <w:t xml:space="preserve"> de la valoración y aplicación de consideraciones y criterios técnicos, así como político – administra</w:t>
      </w:r>
      <w:r>
        <w:rPr>
          <w:rFonts w:ascii="Century Gothic" w:hAnsi="Century Gothic"/>
          <w:i/>
          <w:lang w:val="es-MX"/>
        </w:rPr>
        <w:t>tivos</w:t>
      </w:r>
      <w:r w:rsidR="00DE53D4" w:rsidRPr="0050035B">
        <w:rPr>
          <w:rFonts w:ascii="Century Gothic" w:hAnsi="Century Gothic"/>
          <w:i/>
          <w:lang w:val="es-MX"/>
        </w:rPr>
        <w:t xml:space="preserve"> mismos que son expuestos a lo largo de este documento.</w:t>
      </w:r>
      <w:r>
        <w:rPr>
          <w:rFonts w:ascii="Century Gothic" w:hAnsi="Century Gothic"/>
          <w:i/>
          <w:lang w:val="es-MX"/>
        </w:rPr>
        <w:t xml:space="preserve"> Además, </w:t>
      </w:r>
      <w:r w:rsidR="00F2312B">
        <w:rPr>
          <w:rFonts w:ascii="Century Gothic" w:hAnsi="Century Gothic"/>
          <w:i/>
          <w:lang w:val="es-MX"/>
        </w:rPr>
        <w:t>e</w:t>
      </w:r>
      <w:r w:rsidRPr="0050035B">
        <w:rPr>
          <w:rFonts w:ascii="Century Gothic" w:hAnsi="Century Gothic"/>
          <w:i/>
          <w:lang w:val="es-MX"/>
        </w:rPr>
        <w:t>l diseño del PILI 2022 se fundame</w:t>
      </w:r>
      <w:r w:rsidR="0010622F">
        <w:rPr>
          <w:rFonts w:ascii="Century Gothic" w:hAnsi="Century Gothic"/>
          <w:i/>
          <w:lang w:val="es-MX"/>
        </w:rPr>
        <w:t xml:space="preserve">nta en disposiciones normativas </w:t>
      </w:r>
      <w:r w:rsidRPr="0050035B">
        <w:rPr>
          <w:rFonts w:ascii="Century Gothic" w:hAnsi="Century Gothic"/>
          <w:i/>
          <w:lang w:val="es-MX"/>
        </w:rPr>
        <w:t>en materia presupuestal, hacendaria, fiscal, contable y de disciplina financiera que impactan en las proyecciones y proceso presupuestal de los ingresos para el Municipio de Monterrey durante el ejercicio 2022.</w:t>
      </w:r>
    </w:p>
    <w:p w:rsidR="00DE53D4" w:rsidRPr="0050035B" w:rsidRDefault="00DE53D4" w:rsidP="00C229DF">
      <w:pPr>
        <w:spacing w:line="360" w:lineRule="auto"/>
        <w:ind w:firstLine="720"/>
        <w:jc w:val="both"/>
        <w:rPr>
          <w:rFonts w:ascii="Century Gothic" w:hAnsi="Century Gothic"/>
          <w:i/>
          <w:lang w:val="es-MX"/>
        </w:rPr>
      </w:pPr>
    </w:p>
    <w:p w:rsidR="00DE53D4" w:rsidRPr="0050035B" w:rsidRDefault="00DE53D4" w:rsidP="00C229DF">
      <w:pPr>
        <w:spacing w:line="360" w:lineRule="auto"/>
        <w:ind w:firstLine="720"/>
        <w:jc w:val="both"/>
        <w:rPr>
          <w:rFonts w:ascii="Century Gothic" w:hAnsi="Century Gothic"/>
          <w:i/>
          <w:lang w:val="es-MX"/>
        </w:rPr>
      </w:pPr>
      <w:r w:rsidRPr="0050035B">
        <w:rPr>
          <w:rFonts w:ascii="Century Gothic" w:hAnsi="Century Gothic"/>
          <w:i/>
          <w:lang w:val="es-MX"/>
        </w:rPr>
        <w:t xml:space="preserve">La información mencionada en </w:t>
      </w:r>
      <w:r w:rsidR="00724E5D">
        <w:rPr>
          <w:rFonts w:ascii="Century Gothic" w:hAnsi="Century Gothic"/>
          <w:i/>
          <w:lang w:val="es-MX"/>
        </w:rPr>
        <w:t xml:space="preserve">el párrafo </w:t>
      </w:r>
      <w:r w:rsidR="00724E5D" w:rsidRPr="0050035B">
        <w:rPr>
          <w:rFonts w:ascii="Century Gothic" w:hAnsi="Century Gothic"/>
          <w:i/>
          <w:lang w:val="es-MX"/>
        </w:rPr>
        <w:t>que</w:t>
      </w:r>
      <w:r w:rsidRPr="0050035B">
        <w:rPr>
          <w:rFonts w:ascii="Century Gothic" w:hAnsi="Century Gothic"/>
          <w:i/>
          <w:lang w:val="es-MX"/>
        </w:rPr>
        <w:t xml:space="preserve"> </w:t>
      </w:r>
      <w:r w:rsidR="00724E5D">
        <w:rPr>
          <w:rFonts w:ascii="Century Gothic" w:hAnsi="Century Gothic"/>
          <w:i/>
          <w:lang w:val="es-MX"/>
        </w:rPr>
        <w:t>precede</w:t>
      </w:r>
      <w:r w:rsidRPr="0050035B">
        <w:rPr>
          <w:rFonts w:ascii="Century Gothic" w:hAnsi="Century Gothic"/>
          <w:i/>
          <w:lang w:val="es-MX"/>
        </w:rPr>
        <w:t xml:space="preserve"> se desarrolla en este documento a lo largo </w:t>
      </w:r>
      <w:r w:rsidR="00C229DF" w:rsidRPr="0050035B">
        <w:rPr>
          <w:rFonts w:ascii="Century Gothic" w:hAnsi="Century Gothic"/>
          <w:i/>
          <w:lang w:val="es-MX"/>
        </w:rPr>
        <w:t>de cinco</w:t>
      </w:r>
      <w:r w:rsidR="00724E5D">
        <w:rPr>
          <w:rFonts w:ascii="Century Gothic" w:hAnsi="Century Gothic"/>
          <w:i/>
          <w:lang w:val="es-MX"/>
        </w:rPr>
        <w:t xml:space="preserve"> secciones:</w:t>
      </w:r>
      <w:r w:rsidR="00F2312B">
        <w:rPr>
          <w:rFonts w:ascii="Century Gothic" w:hAnsi="Century Gothic"/>
          <w:i/>
          <w:lang w:val="es-MX"/>
        </w:rPr>
        <w:t xml:space="preserve"> I) Marco N</w:t>
      </w:r>
      <w:r w:rsidRPr="0050035B">
        <w:rPr>
          <w:rFonts w:ascii="Century Gothic" w:hAnsi="Century Gothic"/>
          <w:i/>
          <w:lang w:val="es-MX"/>
        </w:rPr>
        <w:t>ormativo, II) Exposición de Motivos, III) Disciplina Financiera, IV) Descripción de Estimaciones y V) Glosario.</w:t>
      </w:r>
    </w:p>
    <w:p w:rsidR="001E1257" w:rsidRPr="0050035B" w:rsidRDefault="001E1257" w:rsidP="00071D0D">
      <w:pPr>
        <w:spacing w:line="360" w:lineRule="auto"/>
        <w:jc w:val="both"/>
        <w:rPr>
          <w:rFonts w:ascii="Century Gothic" w:hAnsi="Century Gothic"/>
          <w:i/>
          <w:lang w:val="es-MX"/>
        </w:rPr>
      </w:pPr>
    </w:p>
    <w:p w:rsidR="00BE2A9D" w:rsidRPr="0050035B" w:rsidRDefault="00EC6936" w:rsidP="00071D0D">
      <w:pPr>
        <w:spacing w:line="360" w:lineRule="auto"/>
        <w:jc w:val="both"/>
        <w:rPr>
          <w:rFonts w:ascii="Century Gothic" w:hAnsi="Century Gothic"/>
          <w:i/>
          <w:lang w:val="es-MX"/>
        </w:rPr>
      </w:pPr>
      <w:r w:rsidRPr="0050035B">
        <w:rPr>
          <w:rFonts w:ascii="Century Gothic" w:hAnsi="Century Gothic"/>
          <w:i/>
          <w:lang w:val="es-MX"/>
        </w:rPr>
        <w:tab/>
      </w:r>
      <w:r w:rsidR="00C229DF" w:rsidRPr="0050035B">
        <w:rPr>
          <w:rFonts w:ascii="Century Gothic" w:hAnsi="Century Gothic"/>
          <w:i/>
          <w:lang w:val="es-MX"/>
        </w:rPr>
        <w:t>En la</w:t>
      </w:r>
      <w:r w:rsidR="00D10C14" w:rsidRPr="0050035B">
        <w:rPr>
          <w:rFonts w:ascii="Century Gothic" w:hAnsi="Century Gothic"/>
          <w:i/>
          <w:lang w:val="es-MX"/>
        </w:rPr>
        <w:t xml:space="preserve"> sección</w:t>
      </w:r>
      <w:r w:rsidR="00C229DF" w:rsidRPr="0050035B">
        <w:rPr>
          <w:rFonts w:ascii="Century Gothic" w:hAnsi="Century Gothic"/>
          <w:i/>
          <w:lang w:val="es-MX"/>
        </w:rPr>
        <w:t>:</w:t>
      </w:r>
      <w:r w:rsidRPr="0050035B">
        <w:rPr>
          <w:rFonts w:ascii="Century Gothic" w:hAnsi="Century Gothic"/>
          <w:i/>
          <w:lang w:val="es-MX"/>
        </w:rPr>
        <w:t xml:space="preserve"> “</w:t>
      </w:r>
      <w:r w:rsidRPr="0010622F">
        <w:rPr>
          <w:rFonts w:ascii="Century Gothic" w:hAnsi="Century Gothic"/>
          <w:b/>
          <w:i/>
          <w:lang w:val="es-MX"/>
        </w:rPr>
        <w:t>Marco Normativo</w:t>
      </w:r>
      <w:r w:rsidRPr="0050035B">
        <w:rPr>
          <w:rFonts w:ascii="Century Gothic" w:hAnsi="Century Gothic"/>
          <w:i/>
          <w:lang w:val="es-MX"/>
        </w:rPr>
        <w:t xml:space="preserve">” </w:t>
      </w:r>
      <w:r w:rsidR="00C229DF" w:rsidRPr="0050035B">
        <w:rPr>
          <w:rFonts w:ascii="Century Gothic" w:hAnsi="Century Gothic"/>
          <w:i/>
          <w:lang w:val="es-MX"/>
        </w:rPr>
        <w:t>es presenta</w:t>
      </w:r>
      <w:r w:rsidRPr="0050035B">
        <w:rPr>
          <w:rFonts w:ascii="Century Gothic" w:hAnsi="Century Gothic"/>
          <w:i/>
          <w:lang w:val="es-MX"/>
        </w:rPr>
        <w:t xml:space="preserve"> un análisis de las disposiciones normativas que est</w:t>
      </w:r>
      <w:r w:rsidR="00D85782" w:rsidRPr="0050035B">
        <w:rPr>
          <w:rFonts w:ascii="Century Gothic" w:hAnsi="Century Gothic"/>
          <w:i/>
          <w:lang w:val="es-MX"/>
        </w:rPr>
        <w:t xml:space="preserve">ablecen </w:t>
      </w:r>
      <w:r w:rsidR="00C229DF" w:rsidRPr="0050035B">
        <w:rPr>
          <w:rFonts w:ascii="Century Gothic" w:hAnsi="Century Gothic"/>
          <w:i/>
          <w:lang w:val="es-MX"/>
        </w:rPr>
        <w:t xml:space="preserve">los </w:t>
      </w:r>
      <w:r w:rsidR="00D85782" w:rsidRPr="0050035B">
        <w:rPr>
          <w:rFonts w:ascii="Century Gothic" w:hAnsi="Century Gothic"/>
          <w:i/>
          <w:lang w:val="es-MX"/>
        </w:rPr>
        <w:t>criterios y normas bajo</w:t>
      </w:r>
      <w:r w:rsidRPr="0050035B">
        <w:rPr>
          <w:rFonts w:ascii="Century Gothic" w:hAnsi="Century Gothic"/>
          <w:i/>
          <w:lang w:val="es-MX"/>
        </w:rPr>
        <w:t xml:space="preserve"> las cuales se diseña el </w:t>
      </w:r>
      <w:r w:rsidR="0010622F">
        <w:rPr>
          <w:rFonts w:ascii="Century Gothic" w:hAnsi="Century Gothic"/>
          <w:i/>
          <w:lang w:val="es-MX"/>
        </w:rPr>
        <w:t xml:space="preserve">PILI </w:t>
      </w:r>
      <w:r w:rsidRPr="0050035B">
        <w:rPr>
          <w:rFonts w:ascii="Century Gothic" w:hAnsi="Century Gothic"/>
          <w:i/>
          <w:lang w:val="es-MX"/>
        </w:rPr>
        <w:t>202</w:t>
      </w:r>
      <w:r w:rsidR="00C229DF" w:rsidRPr="0050035B">
        <w:rPr>
          <w:rFonts w:ascii="Century Gothic" w:hAnsi="Century Gothic"/>
          <w:i/>
          <w:lang w:val="es-MX"/>
        </w:rPr>
        <w:t>2</w:t>
      </w:r>
      <w:r w:rsidRPr="0050035B">
        <w:rPr>
          <w:rFonts w:ascii="Century Gothic" w:hAnsi="Century Gothic"/>
          <w:i/>
          <w:lang w:val="es-MX"/>
        </w:rPr>
        <w:t xml:space="preserve">, así como </w:t>
      </w:r>
      <w:r w:rsidR="00C229DF" w:rsidRPr="0050035B">
        <w:rPr>
          <w:rFonts w:ascii="Century Gothic" w:hAnsi="Century Gothic"/>
          <w:i/>
          <w:lang w:val="es-MX"/>
        </w:rPr>
        <w:t>aquellas</w:t>
      </w:r>
      <w:r w:rsidRPr="0050035B">
        <w:rPr>
          <w:rFonts w:ascii="Century Gothic" w:hAnsi="Century Gothic"/>
          <w:i/>
          <w:lang w:val="es-MX"/>
        </w:rPr>
        <w:t xml:space="preserve"> normas que </w:t>
      </w:r>
      <w:r w:rsidR="00C229DF" w:rsidRPr="0050035B">
        <w:rPr>
          <w:rFonts w:ascii="Century Gothic" w:hAnsi="Century Gothic"/>
          <w:i/>
          <w:lang w:val="es-MX"/>
        </w:rPr>
        <w:t>estipulan las</w:t>
      </w:r>
      <w:r w:rsidRPr="0050035B">
        <w:rPr>
          <w:rFonts w:ascii="Century Gothic" w:hAnsi="Century Gothic"/>
          <w:i/>
          <w:lang w:val="es-MX"/>
        </w:rPr>
        <w:t xml:space="preserve"> atribuciones municipales de recaudar, y en su caso, </w:t>
      </w:r>
      <w:r w:rsidR="00D10C14" w:rsidRPr="0050035B">
        <w:rPr>
          <w:rFonts w:ascii="Century Gothic" w:hAnsi="Century Gothic"/>
          <w:i/>
          <w:lang w:val="es-MX"/>
        </w:rPr>
        <w:t xml:space="preserve">de </w:t>
      </w:r>
      <w:r w:rsidR="0010622F">
        <w:rPr>
          <w:rFonts w:ascii="Century Gothic" w:hAnsi="Century Gothic"/>
          <w:i/>
          <w:lang w:val="es-MX"/>
        </w:rPr>
        <w:t>re</w:t>
      </w:r>
      <w:r w:rsidRPr="0050035B">
        <w:rPr>
          <w:rFonts w:ascii="Century Gothic" w:hAnsi="Century Gothic"/>
          <w:i/>
          <w:lang w:val="es-MX"/>
        </w:rPr>
        <w:t>cibir ingresos</w:t>
      </w:r>
      <w:r w:rsidR="00D10C14" w:rsidRPr="0050035B">
        <w:rPr>
          <w:rFonts w:ascii="Century Gothic" w:hAnsi="Century Gothic"/>
          <w:i/>
          <w:lang w:val="es-MX"/>
        </w:rPr>
        <w:t>.</w:t>
      </w:r>
      <w:r w:rsidRPr="0050035B">
        <w:rPr>
          <w:rFonts w:ascii="Century Gothic" w:hAnsi="Century Gothic"/>
          <w:i/>
          <w:lang w:val="es-MX"/>
        </w:rPr>
        <w:t xml:space="preserve"> </w:t>
      </w:r>
    </w:p>
    <w:p w:rsidR="003E784D" w:rsidRPr="0050035B" w:rsidRDefault="003E784D" w:rsidP="00071D0D">
      <w:pPr>
        <w:spacing w:line="360" w:lineRule="auto"/>
        <w:jc w:val="both"/>
        <w:rPr>
          <w:rFonts w:ascii="Century Gothic" w:hAnsi="Century Gothic"/>
          <w:i/>
          <w:sz w:val="22"/>
          <w:highlight w:val="yellow"/>
          <w:lang w:val="es-MX"/>
        </w:rPr>
      </w:pPr>
    </w:p>
    <w:p w:rsidR="00EC6936" w:rsidRPr="0050035B" w:rsidRDefault="00071D0D" w:rsidP="00BE2A9D">
      <w:pPr>
        <w:spacing w:line="360" w:lineRule="auto"/>
        <w:ind w:firstLine="720"/>
        <w:jc w:val="both"/>
        <w:rPr>
          <w:rFonts w:ascii="Century Gothic" w:hAnsi="Century Gothic"/>
          <w:i/>
          <w:lang w:val="es-MX"/>
        </w:rPr>
      </w:pPr>
      <w:r w:rsidRPr="0050035B">
        <w:rPr>
          <w:rFonts w:ascii="Century Gothic" w:hAnsi="Century Gothic"/>
          <w:i/>
          <w:lang w:val="es-MX"/>
        </w:rPr>
        <w:t>En la</w:t>
      </w:r>
      <w:r w:rsidR="00EC6936" w:rsidRPr="0050035B">
        <w:rPr>
          <w:rFonts w:ascii="Century Gothic" w:hAnsi="Century Gothic"/>
          <w:i/>
          <w:lang w:val="es-MX"/>
        </w:rPr>
        <w:t xml:space="preserve"> segunda sección</w:t>
      </w:r>
      <w:r w:rsidR="00C229DF" w:rsidRPr="0050035B">
        <w:rPr>
          <w:rFonts w:ascii="Century Gothic" w:hAnsi="Century Gothic"/>
          <w:i/>
          <w:lang w:val="es-MX"/>
        </w:rPr>
        <w:t>:</w:t>
      </w:r>
      <w:r w:rsidRPr="0050035B">
        <w:rPr>
          <w:rFonts w:ascii="Century Gothic" w:hAnsi="Century Gothic"/>
          <w:i/>
          <w:lang w:val="es-MX"/>
        </w:rPr>
        <w:t xml:space="preserve"> </w:t>
      </w:r>
      <w:r w:rsidR="009661CA" w:rsidRPr="0050035B">
        <w:rPr>
          <w:rFonts w:ascii="Century Gothic" w:hAnsi="Century Gothic"/>
          <w:i/>
          <w:lang w:val="es-MX"/>
        </w:rPr>
        <w:t>“</w:t>
      </w:r>
      <w:r w:rsidRPr="0010622F">
        <w:rPr>
          <w:rFonts w:ascii="Century Gothic" w:hAnsi="Century Gothic"/>
          <w:b/>
          <w:i/>
          <w:lang w:val="es-MX"/>
        </w:rPr>
        <w:t>Exposición de Motivos</w:t>
      </w:r>
      <w:r w:rsidR="009661CA" w:rsidRPr="0050035B">
        <w:rPr>
          <w:rFonts w:ascii="Century Gothic" w:hAnsi="Century Gothic"/>
          <w:i/>
          <w:lang w:val="es-MX"/>
        </w:rPr>
        <w:t>”</w:t>
      </w:r>
      <w:r w:rsidR="00D03903" w:rsidRPr="0050035B">
        <w:rPr>
          <w:rFonts w:ascii="Century Gothic" w:hAnsi="Century Gothic"/>
          <w:i/>
          <w:lang w:val="es-MX"/>
        </w:rPr>
        <w:t>,</w:t>
      </w:r>
      <w:r w:rsidR="00C229DF" w:rsidRPr="0050035B">
        <w:rPr>
          <w:rFonts w:ascii="Century Gothic" w:hAnsi="Century Gothic"/>
          <w:i/>
          <w:lang w:val="es-MX"/>
        </w:rPr>
        <w:t xml:space="preserve"> serán presentados aspectos macroeconómicos que influyen de forma directa en la proyección que se genera en el </w:t>
      </w:r>
      <w:r w:rsidR="0010622F">
        <w:rPr>
          <w:rFonts w:ascii="Century Gothic" w:hAnsi="Century Gothic"/>
          <w:i/>
          <w:lang w:val="es-MX"/>
        </w:rPr>
        <w:t xml:space="preserve">PILI </w:t>
      </w:r>
      <w:r w:rsidR="00C229DF" w:rsidRPr="0050035B">
        <w:rPr>
          <w:rFonts w:ascii="Century Gothic" w:hAnsi="Century Gothic"/>
          <w:i/>
          <w:lang w:val="es-MX"/>
        </w:rPr>
        <w:t xml:space="preserve"> 2022; además</w:t>
      </w:r>
      <w:r w:rsidR="00D03903" w:rsidRPr="0050035B">
        <w:rPr>
          <w:rFonts w:ascii="Century Gothic" w:hAnsi="Century Gothic"/>
          <w:i/>
          <w:lang w:val="es-MX"/>
        </w:rPr>
        <w:t xml:space="preserve"> se </w:t>
      </w:r>
      <w:r w:rsidR="00C229DF" w:rsidRPr="0050035B">
        <w:rPr>
          <w:rFonts w:ascii="Century Gothic" w:hAnsi="Century Gothic"/>
          <w:i/>
          <w:lang w:val="es-MX"/>
        </w:rPr>
        <w:t>desarrolla un análisis</w:t>
      </w:r>
      <w:r w:rsidR="00EC6936" w:rsidRPr="0050035B">
        <w:rPr>
          <w:rFonts w:ascii="Century Gothic" w:hAnsi="Century Gothic"/>
          <w:i/>
          <w:lang w:val="es-MX"/>
        </w:rPr>
        <w:t xml:space="preserve"> </w:t>
      </w:r>
      <w:r w:rsidR="00C229DF" w:rsidRPr="0050035B">
        <w:rPr>
          <w:rFonts w:ascii="Century Gothic" w:hAnsi="Century Gothic"/>
          <w:i/>
          <w:lang w:val="es-MX"/>
        </w:rPr>
        <w:t>d</w:t>
      </w:r>
      <w:r w:rsidR="00EC6936" w:rsidRPr="0050035B">
        <w:rPr>
          <w:rFonts w:ascii="Century Gothic" w:hAnsi="Century Gothic"/>
          <w:i/>
          <w:lang w:val="es-MX"/>
        </w:rPr>
        <w:t xml:space="preserve">el contexto socioeconómico local, nacional e </w:t>
      </w:r>
      <w:r w:rsidR="004C3E55" w:rsidRPr="0050035B">
        <w:rPr>
          <w:rFonts w:ascii="Century Gothic" w:hAnsi="Century Gothic"/>
          <w:i/>
          <w:lang w:val="es-MX"/>
        </w:rPr>
        <w:t xml:space="preserve">internacional, así como </w:t>
      </w:r>
      <w:r w:rsidR="00992469" w:rsidRPr="0050035B">
        <w:rPr>
          <w:rFonts w:ascii="Century Gothic" w:hAnsi="Century Gothic"/>
          <w:i/>
          <w:lang w:val="es-MX"/>
        </w:rPr>
        <w:t>sus</w:t>
      </w:r>
      <w:r w:rsidR="003F031B" w:rsidRPr="0050035B">
        <w:rPr>
          <w:rFonts w:ascii="Century Gothic" w:hAnsi="Century Gothic"/>
          <w:i/>
          <w:lang w:val="es-MX"/>
        </w:rPr>
        <w:t xml:space="preserve"> efectos y </w:t>
      </w:r>
      <w:r w:rsidR="00992469" w:rsidRPr="0050035B">
        <w:rPr>
          <w:rFonts w:ascii="Century Gothic" w:hAnsi="Century Gothic"/>
          <w:i/>
          <w:lang w:val="es-MX"/>
        </w:rPr>
        <w:t>el</w:t>
      </w:r>
      <w:r w:rsidR="004C3E55" w:rsidRPr="0050035B">
        <w:rPr>
          <w:rFonts w:ascii="Century Gothic" w:hAnsi="Century Gothic"/>
          <w:i/>
          <w:lang w:val="es-MX"/>
        </w:rPr>
        <w:t xml:space="preserve"> impacto</w:t>
      </w:r>
      <w:r w:rsidR="00992469" w:rsidRPr="0050035B">
        <w:rPr>
          <w:rFonts w:ascii="Century Gothic" w:hAnsi="Century Gothic"/>
          <w:i/>
          <w:lang w:val="es-MX"/>
        </w:rPr>
        <w:t xml:space="preserve"> que </w:t>
      </w:r>
      <w:r w:rsidR="00D03903" w:rsidRPr="0050035B">
        <w:rPr>
          <w:rFonts w:ascii="Century Gothic" w:hAnsi="Century Gothic"/>
          <w:i/>
          <w:lang w:val="es-MX"/>
        </w:rPr>
        <w:t>tendrá</w:t>
      </w:r>
      <w:r w:rsidR="004C3E55" w:rsidRPr="0050035B">
        <w:rPr>
          <w:rFonts w:ascii="Century Gothic" w:hAnsi="Century Gothic"/>
          <w:i/>
          <w:lang w:val="es-MX"/>
        </w:rPr>
        <w:t xml:space="preserve"> en las finanzas públicas municipales</w:t>
      </w:r>
      <w:r w:rsidR="00BA4DF1" w:rsidRPr="0050035B">
        <w:rPr>
          <w:rFonts w:ascii="Century Gothic" w:hAnsi="Century Gothic"/>
          <w:i/>
          <w:lang w:val="es-MX"/>
        </w:rPr>
        <w:t xml:space="preserve">. Lo anterior, </w:t>
      </w:r>
      <w:r w:rsidR="00BA4DF1" w:rsidRPr="0050035B">
        <w:rPr>
          <w:rFonts w:ascii="Century Gothic" w:hAnsi="Century Gothic"/>
          <w:i/>
          <w:lang w:val="es-MX"/>
        </w:rPr>
        <w:lastRenderedPageBreak/>
        <w:t xml:space="preserve">conforme a lo </w:t>
      </w:r>
      <w:r w:rsidR="00C15D4F" w:rsidRPr="0050035B">
        <w:rPr>
          <w:rFonts w:ascii="Century Gothic" w:hAnsi="Century Gothic"/>
          <w:i/>
          <w:lang w:val="es-MX"/>
        </w:rPr>
        <w:t>indicado</w:t>
      </w:r>
      <w:r w:rsidR="00BA4DF1" w:rsidRPr="0050035B">
        <w:rPr>
          <w:rFonts w:ascii="Century Gothic" w:hAnsi="Century Gothic"/>
          <w:i/>
          <w:lang w:val="es-MX"/>
        </w:rPr>
        <w:t xml:space="preserve"> en los Criterios Generales de Política Económica para la Iniciativa de Ley de Ingresos y el Proyecto de Presupuesto de Egresos de la Federación correspondientes al Ejercicio Fiscal 202</w:t>
      </w:r>
      <w:r w:rsidR="00C229DF" w:rsidRPr="0050035B">
        <w:rPr>
          <w:rFonts w:ascii="Century Gothic" w:hAnsi="Century Gothic"/>
          <w:i/>
          <w:lang w:val="es-MX"/>
        </w:rPr>
        <w:t>2</w:t>
      </w:r>
      <w:r w:rsidR="00BA4DF1" w:rsidRPr="0050035B">
        <w:rPr>
          <w:rStyle w:val="Refdenotaalpie"/>
          <w:rFonts w:ascii="Century Gothic" w:hAnsi="Century Gothic"/>
          <w:i/>
          <w:lang w:val="es-MX"/>
        </w:rPr>
        <w:footnoteReference w:id="3"/>
      </w:r>
      <w:r w:rsidR="00D03903" w:rsidRPr="0050035B">
        <w:rPr>
          <w:rFonts w:ascii="Century Gothic" w:hAnsi="Century Gothic"/>
          <w:i/>
          <w:lang w:val="es-MX"/>
        </w:rPr>
        <w:t>.</w:t>
      </w:r>
      <w:r w:rsidR="004C3E55" w:rsidRPr="0050035B">
        <w:rPr>
          <w:rFonts w:ascii="Century Gothic" w:hAnsi="Century Gothic"/>
          <w:i/>
          <w:lang w:val="es-MX"/>
        </w:rPr>
        <w:t xml:space="preserve"> </w:t>
      </w:r>
      <w:r w:rsidR="00C229DF" w:rsidRPr="0050035B">
        <w:rPr>
          <w:rFonts w:ascii="Century Gothic" w:hAnsi="Century Gothic"/>
          <w:i/>
          <w:lang w:val="es-MX"/>
        </w:rPr>
        <w:t>Finalmente, en esta sección se exponen</w:t>
      </w:r>
      <w:r w:rsidR="003F031B" w:rsidRPr="0050035B">
        <w:rPr>
          <w:rFonts w:ascii="Century Gothic" w:hAnsi="Century Gothic"/>
          <w:i/>
          <w:lang w:val="es-MX"/>
        </w:rPr>
        <w:t xml:space="preserve"> una serie de acciones que han permitido el fortalecimiento de la Hacienda Pública Municipal</w:t>
      </w:r>
      <w:r w:rsidR="00D03903" w:rsidRPr="0050035B">
        <w:rPr>
          <w:rFonts w:ascii="Century Gothic" w:hAnsi="Century Gothic"/>
          <w:i/>
          <w:lang w:val="es-MX"/>
        </w:rPr>
        <w:t xml:space="preserve"> durante el año en curso</w:t>
      </w:r>
      <w:r w:rsidR="003F031B" w:rsidRPr="0050035B">
        <w:rPr>
          <w:rFonts w:ascii="Century Gothic" w:hAnsi="Century Gothic"/>
          <w:i/>
          <w:lang w:val="es-MX"/>
        </w:rPr>
        <w:t>.</w:t>
      </w:r>
    </w:p>
    <w:p w:rsidR="00EC6936" w:rsidRPr="0050035B" w:rsidRDefault="00EC6936" w:rsidP="00BE2A9D">
      <w:pPr>
        <w:spacing w:line="360" w:lineRule="auto"/>
        <w:ind w:firstLine="720"/>
        <w:jc w:val="both"/>
        <w:rPr>
          <w:rFonts w:ascii="Century Gothic" w:hAnsi="Century Gothic"/>
          <w:i/>
          <w:highlight w:val="yellow"/>
          <w:lang w:val="es-MX"/>
        </w:rPr>
      </w:pPr>
    </w:p>
    <w:p w:rsidR="00EF3A0D" w:rsidRPr="0050035B" w:rsidRDefault="00C229DF" w:rsidP="00845884">
      <w:pPr>
        <w:spacing w:line="360" w:lineRule="auto"/>
        <w:ind w:firstLine="720"/>
        <w:jc w:val="both"/>
        <w:rPr>
          <w:rFonts w:ascii="Century Gothic" w:hAnsi="Century Gothic"/>
          <w:i/>
          <w:lang w:val="es-MX"/>
        </w:rPr>
      </w:pPr>
      <w:r w:rsidRPr="0050035B">
        <w:rPr>
          <w:rFonts w:ascii="Century Gothic" w:hAnsi="Century Gothic"/>
          <w:i/>
          <w:lang w:val="es-MX"/>
        </w:rPr>
        <w:t>La</w:t>
      </w:r>
      <w:r w:rsidR="003F031B" w:rsidRPr="0050035B">
        <w:rPr>
          <w:rFonts w:ascii="Century Gothic" w:hAnsi="Century Gothic"/>
          <w:i/>
          <w:lang w:val="es-MX"/>
        </w:rPr>
        <w:t xml:space="preserve"> tercera sección: “</w:t>
      </w:r>
      <w:r w:rsidR="003F031B" w:rsidRPr="0010622F">
        <w:rPr>
          <w:rFonts w:ascii="Century Gothic" w:hAnsi="Century Gothic"/>
          <w:b/>
          <w:i/>
          <w:lang w:val="es-MX"/>
        </w:rPr>
        <w:t>Disciplina Financiera</w:t>
      </w:r>
      <w:r w:rsidR="003F031B" w:rsidRPr="0050035B">
        <w:rPr>
          <w:rFonts w:ascii="Century Gothic" w:hAnsi="Century Gothic"/>
          <w:i/>
          <w:lang w:val="es-MX"/>
        </w:rPr>
        <w:t>”</w:t>
      </w:r>
      <w:r w:rsidR="00845884" w:rsidRPr="0050035B">
        <w:rPr>
          <w:rFonts w:ascii="Century Gothic" w:hAnsi="Century Gothic"/>
          <w:i/>
          <w:lang w:val="es-MX"/>
        </w:rPr>
        <w:t>,</w:t>
      </w:r>
      <w:r w:rsidR="003F031B" w:rsidRPr="0050035B">
        <w:rPr>
          <w:rFonts w:ascii="Century Gothic" w:hAnsi="Century Gothic"/>
          <w:i/>
          <w:lang w:val="es-MX"/>
        </w:rPr>
        <w:t xml:space="preserve"> </w:t>
      </w:r>
      <w:r w:rsidR="00845884" w:rsidRPr="0050035B">
        <w:rPr>
          <w:rFonts w:ascii="Century Gothic" w:hAnsi="Century Gothic"/>
          <w:i/>
          <w:lang w:val="es-MX"/>
        </w:rPr>
        <w:t>detalla</w:t>
      </w:r>
      <w:r w:rsidR="003F031B" w:rsidRPr="0050035B">
        <w:rPr>
          <w:rFonts w:ascii="Century Gothic" w:hAnsi="Century Gothic"/>
          <w:i/>
          <w:lang w:val="es-MX"/>
        </w:rPr>
        <w:t xml:space="preserve"> </w:t>
      </w:r>
      <w:r w:rsidR="001841FC" w:rsidRPr="0050035B">
        <w:rPr>
          <w:rFonts w:ascii="Century Gothic" w:hAnsi="Century Gothic"/>
          <w:i/>
          <w:lang w:val="es-MX"/>
        </w:rPr>
        <w:t>la información para dar cumplimiento a las disposiciones</w:t>
      </w:r>
      <w:r w:rsidR="00F623E4" w:rsidRPr="0050035B">
        <w:rPr>
          <w:rFonts w:ascii="Century Gothic" w:hAnsi="Century Gothic"/>
          <w:i/>
          <w:lang w:val="es-MX"/>
        </w:rPr>
        <w:t xml:space="preserve"> norm</w:t>
      </w:r>
      <w:r w:rsidR="00D85782" w:rsidRPr="0050035B">
        <w:rPr>
          <w:rFonts w:ascii="Century Gothic" w:hAnsi="Century Gothic"/>
          <w:i/>
          <w:lang w:val="es-MX"/>
        </w:rPr>
        <w:t>ativas de la Ley de Disciplina F</w:t>
      </w:r>
      <w:r w:rsidR="00F623E4" w:rsidRPr="0050035B">
        <w:rPr>
          <w:rFonts w:ascii="Century Gothic" w:hAnsi="Century Gothic"/>
          <w:i/>
          <w:lang w:val="es-MX"/>
        </w:rPr>
        <w:t>inanciera de las Entidades Federativas y los Municipios,</w:t>
      </w:r>
      <w:r w:rsidR="001841FC" w:rsidRPr="0050035B">
        <w:rPr>
          <w:rFonts w:ascii="Century Gothic" w:hAnsi="Century Gothic"/>
          <w:i/>
          <w:lang w:val="es-MX"/>
        </w:rPr>
        <w:t xml:space="preserve"> </w:t>
      </w:r>
      <w:r w:rsidRPr="0050035B">
        <w:rPr>
          <w:rFonts w:ascii="Century Gothic" w:hAnsi="Century Gothic"/>
          <w:i/>
          <w:lang w:val="es-MX"/>
        </w:rPr>
        <w:t>lo cual permitirá</w:t>
      </w:r>
      <w:r w:rsidR="001841FC" w:rsidRPr="0050035B">
        <w:rPr>
          <w:rFonts w:ascii="Century Gothic" w:hAnsi="Century Gothic"/>
          <w:i/>
          <w:lang w:val="es-MX"/>
        </w:rPr>
        <w:t xml:space="preserve"> garantiza</w:t>
      </w:r>
      <w:r w:rsidR="00D03903" w:rsidRPr="0050035B">
        <w:rPr>
          <w:rFonts w:ascii="Century Gothic" w:hAnsi="Century Gothic"/>
          <w:i/>
          <w:lang w:val="es-MX"/>
        </w:rPr>
        <w:t>r</w:t>
      </w:r>
      <w:r w:rsidR="001841FC" w:rsidRPr="0050035B">
        <w:rPr>
          <w:rFonts w:ascii="Century Gothic" w:hAnsi="Century Gothic"/>
          <w:i/>
          <w:lang w:val="es-MX"/>
        </w:rPr>
        <w:t xml:space="preserve"> la administración de recursos con base en los principios de responsabilidad hacendaria y financiera,</w:t>
      </w:r>
      <w:r w:rsidR="00C15D4F" w:rsidRPr="0050035B">
        <w:rPr>
          <w:rFonts w:ascii="Century Gothic" w:hAnsi="Century Gothic"/>
          <w:i/>
          <w:lang w:val="es-MX"/>
        </w:rPr>
        <w:t xml:space="preserve"> que contribuyan al</w:t>
      </w:r>
      <w:r w:rsidR="001841FC" w:rsidRPr="0050035B">
        <w:rPr>
          <w:rFonts w:ascii="Century Gothic" w:hAnsi="Century Gothic"/>
          <w:i/>
          <w:lang w:val="es-MX"/>
        </w:rPr>
        <w:t xml:space="preserve"> manejo soste</w:t>
      </w:r>
      <w:r w:rsidR="00F623E4" w:rsidRPr="0050035B">
        <w:rPr>
          <w:rFonts w:ascii="Century Gothic" w:hAnsi="Century Gothic"/>
          <w:i/>
          <w:lang w:val="es-MX"/>
        </w:rPr>
        <w:t>nible de las finanzas públicas</w:t>
      </w:r>
      <w:r w:rsidRPr="0050035B">
        <w:rPr>
          <w:rFonts w:ascii="Century Gothic" w:hAnsi="Century Gothic"/>
          <w:i/>
          <w:lang w:val="es-MX"/>
        </w:rPr>
        <w:t xml:space="preserve"> municipales</w:t>
      </w:r>
      <w:r w:rsidR="00F623E4" w:rsidRPr="0050035B">
        <w:rPr>
          <w:rFonts w:ascii="Century Gothic" w:hAnsi="Century Gothic"/>
          <w:i/>
          <w:lang w:val="es-MX"/>
        </w:rPr>
        <w:t xml:space="preserve">. </w:t>
      </w:r>
      <w:r w:rsidR="0010622F">
        <w:rPr>
          <w:rFonts w:ascii="Century Gothic" w:hAnsi="Century Gothic"/>
          <w:i/>
          <w:lang w:val="es-MX"/>
        </w:rPr>
        <w:t>Para ello</w:t>
      </w:r>
      <w:r w:rsidRPr="0050035B">
        <w:rPr>
          <w:rFonts w:ascii="Century Gothic" w:hAnsi="Century Gothic"/>
          <w:i/>
          <w:lang w:val="es-MX"/>
        </w:rPr>
        <w:t xml:space="preserve">, </w:t>
      </w:r>
      <w:r w:rsidR="0010622F">
        <w:rPr>
          <w:rFonts w:ascii="Century Gothic" w:hAnsi="Century Gothic"/>
          <w:i/>
          <w:lang w:val="es-MX"/>
        </w:rPr>
        <w:t>son considerados</w:t>
      </w:r>
      <w:r w:rsidRPr="0050035B">
        <w:rPr>
          <w:rFonts w:ascii="Century Gothic" w:hAnsi="Century Gothic"/>
          <w:i/>
          <w:lang w:val="es-MX"/>
        </w:rPr>
        <w:t xml:space="preserve"> </w:t>
      </w:r>
      <w:r w:rsidR="001841FC" w:rsidRPr="0050035B">
        <w:rPr>
          <w:rFonts w:ascii="Century Gothic" w:hAnsi="Century Gothic"/>
          <w:i/>
          <w:lang w:val="es-MX"/>
        </w:rPr>
        <w:t>datos sobre los resultados y proyección de ingresos</w:t>
      </w:r>
      <w:r w:rsidRPr="0050035B">
        <w:rPr>
          <w:rFonts w:ascii="Century Gothic" w:hAnsi="Century Gothic"/>
          <w:i/>
          <w:lang w:val="es-MX"/>
        </w:rPr>
        <w:t xml:space="preserve"> y</w:t>
      </w:r>
      <w:r w:rsidR="001841FC" w:rsidRPr="0050035B">
        <w:rPr>
          <w:rFonts w:ascii="Century Gothic" w:hAnsi="Century Gothic"/>
          <w:i/>
          <w:lang w:val="es-MX"/>
        </w:rPr>
        <w:t xml:space="preserve"> una síntesis de las princip</w:t>
      </w:r>
      <w:r w:rsidR="00DD1E43" w:rsidRPr="0050035B">
        <w:rPr>
          <w:rFonts w:ascii="Century Gothic" w:hAnsi="Century Gothic"/>
          <w:i/>
          <w:lang w:val="es-MX"/>
        </w:rPr>
        <w:t>ales premisas e indicadores que</w:t>
      </w:r>
      <w:r w:rsidR="001841FC" w:rsidRPr="0050035B">
        <w:rPr>
          <w:rFonts w:ascii="Century Gothic" w:hAnsi="Century Gothic"/>
          <w:i/>
          <w:lang w:val="es-MX"/>
        </w:rPr>
        <w:t xml:space="preserve"> son considerados para las proyecc</w:t>
      </w:r>
      <w:r w:rsidR="00F623E4" w:rsidRPr="0050035B">
        <w:rPr>
          <w:rFonts w:ascii="Century Gothic" w:hAnsi="Century Gothic"/>
          <w:i/>
          <w:lang w:val="es-MX"/>
        </w:rPr>
        <w:t xml:space="preserve">iones </w:t>
      </w:r>
      <w:r w:rsidR="00C15D4F" w:rsidRPr="0050035B">
        <w:rPr>
          <w:rFonts w:ascii="Century Gothic" w:hAnsi="Century Gothic"/>
          <w:i/>
          <w:lang w:val="es-MX"/>
        </w:rPr>
        <w:t>d</w:t>
      </w:r>
      <w:r w:rsidR="00F623E4" w:rsidRPr="0050035B">
        <w:rPr>
          <w:rFonts w:ascii="Century Gothic" w:hAnsi="Century Gothic"/>
          <w:i/>
          <w:lang w:val="es-MX"/>
        </w:rPr>
        <w:t xml:space="preserve">el </w:t>
      </w:r>
      <w:r w:rsidR="0010622F">
        <w:rPr>
          <w:rFonts w:ascii="Century Gothic" w:hAnsi="Century Gothic"/>
          <w:i/>
          <w:lang w:val="es-MX"/>
        </w:rPr>
        <w:t xml:space="preserve">PILI </w:t>
      </w:r>
      <w:r w:rsidR="00F623E4" w:rsidRPr="0050035B">
        <w:rPr>
          <w:rFonts w:ascii="Century Gothic" w:hAnsi="Century Gothic"/>
          <w:i/>
          <w:lang w:val="es-MX"/>
        </w:rPr>
        <w:t>202</w:t>
      </w:r>
      <w:r w:rsidRPr="0050035B">
        <w:rPr>
          <w:rFonts w:ascii="Century Gothic" w:hAnsi="Century Gothic"/>
          <w:i/>
          <w:lang w:val="es-MX"/>
        </w:rPr>
        <w:t>2</w:t>
      </w:r>
      <w:r w:rsidR="00F623E4" w:rsidRPr="0050035B">
        <w:rPr>
          <w:rFonts w:ascii="Century Gothic" w:hAnsi="Century Gothic"/>
          <w:i/>
          <w:lang w:val="es-MX"/>
        </w:rPr>
        <w:t>.</w:t>
      </w:r>
      <w:r w:rsidR="00C15D4F" w:rsidRPr="0050035B">
        <w:rPr>
          <w:rFonts w:ascii="Century Gothic" w:hAnsi="Century Gothic"/>
          <w:i/>
          <w:lang w:val="es-MX"/>
        </w:rPr>
        <w:t xml:space="preserve"> </w:t>
      </w:r>
      <w:r w:rsidRPr="0050035B">
        <w:rPr>
          <w:rFonts w:ascii="Century Gothic" w:hAnsi="Century Gothic"/>
          <w:i/>
          <w:lang w:val="es-MX"/>
        </w:rPr>
        <w:t>En este apartado también, se</w:t>
      </w:r>
      <w:r w:rsidR="00C15D4F" w:rsidRPr="0050035B">
        <w:rPr>
          <w:rFonts w:ascii="Century Gothic" w:hAnsi="Century Gothic"/>
          <w:i/>
          <w:lang w:val="es-MX"/>
        </w:rPr>
        <w:t xml:space="preserve"> </w:t>
      </w:r>
      <w:r w:rsidRPr="0050035B">
        <w:rPr>
          <w:rFonts w:ascii="Century Gothic" w:hAnsi="Century Gothic"/>
          <w:i/>
          <w:lang w:val="es-MX"/>
        </w:rPr>
        <w:t>detalla</w:t>
      </w:r>
      <w:r w:rsidR="00C15D4F" w:rsidRPr="0050035B">
        <w:rPr>
          <w:rFonts w:ascii="Century Gothic" w:hAnsi="Century Gothic"/>
          <w:i/>
          <w:lang w:val="es-MX"/>
        </w:rPr>
        <w:t xml:space="preserve"> el </w:t>
      </w:r>
      <w:r w:rsidRPr="0050035B">
        <w:rPr>
          <w:rFonts w:ascii="Century Gothic" w:hAnsi="Century Gothic"/>
          <w:i/>
          <w:lang w:val="es-MX"/>
        </w:rPr>
        <w:t xml:space="preserve">análisis de los riesgos para las finanzas públicas, </w:t>
      </w:r>
      <w:r w:rsidR="00C15D4F" w:rsidRPr="0050035B">
        <w:rPr>
          <w:rFonts w:ascii="Century Gothic" w:hAnsi="Century Gothic"/>
          <w:i/>
          <w:lang w:val="es-MX"/>
        </w:rPr>
        <w:t>objetivo</w:t>
      </w:r>
      <w:r w:rsidR="00852E08">
        <w:rPr>
          <w:rFonts w:ascii="Century Gothic" w:hAnsi="Century Gothic"/>
          <w:i/>
          <w:lang w:val="es-MX"/>
        </w:rPr>
        <w:t>s</w:t>
      </w:r>
      <w:r w:rsidR="00C15D4F" w:rsidRPr="0050035B">
        <w:rPr>
          <w:rFonts w:ascii="Century Gothic" w:hAnsi="Century Gothic"/>
          <w:i/>
          <w:lang w:val="es-MX"/>
        </w:rPr>
        <w:t xml:space="preserve"> de la Política de Ingresos y </w:t>
      </w:r>
      <w:r w:rsidRPr="0050035B">
        <w:rPr>
          <w:rFonts w:ascii="Century Gothic" w:hAnsi="Century Gothic"/>
          <w:i/>
          <w:lang w:val="es-MX"/>
        </w:rPr>
        <w:t xml:space="preserve">de </w:t>
      </w:r>
      <w:r w:rsidR="00C15D4F" w:rsidRPr="0050035B">
        <w:rPr>
          <w:rFonts w:ascii="Century Gothic" w:hAnsi="Century Gothic"/>
          <w:i/>
          <w:lang w:val="es-MX"/>
        </w:rPr>
        <w:t xml:space="preserve">Financiamiento del Municipio. </w:t>
      </w:r>
    </w:p>
    <w:p w:rsidR="00EF3A0D" w:rsidRPr="0050035B" w:rsidRDefault="00EF3A0D" w:rsidP="00071D0D">
      <w:pPr>
        <w:spacing w:line="360" w:lineRule="auto"/>
        <w:jc w:val="both"/>
        <w:rPr>
          <w:rFonts w:ascii="Century Gothic" w:hAnsi="Century Gothic"/>
          <w:i/>
          <w:highlight w:val="yellow"/>
          <w:lang w:val="es-MX"/>
        </w:rPr>
      </w:pPr>
    </w:p>
    <w:p w:rsidR="00CB29F2" w:rsidRPr="0050035B" w:rsidRDefault="00C229DF" w:rsidP="0010622F">
      <w:pPr>
        <w:spacing w:line="360" w:lineRule="auto"/>
        <w:ind w:firstLine="720"/>
        <w:jc w:val="both"/>
        <w:rPr>
          <w:rFonts w:ascii="Century Gothic" w:hAnsi="Century Gothic"/>
          <w:i/>
          <w:lang w:val="es-MX"/>
        </w:rPr>
      </w:pPr>
      <w:r w:rsidRPr="0050035B">
        <w:rPr>
          <w:rFonts w:ascii="Century Gothic" w:hAnsi="Century Gothic"/>
          <w:i/>
          <w:lang w:val="es-MX"/>
        </w:rPr>
        <w:t xml:space="preserve">La parte </w:t>
      </w:r>
      <w:r w:rsidR="0010622F">
        <w:rPr>
          <w:rFonts w:ascii="Century Gothic" w:hAnsi="Century Gothic"/>
          <w:i/>
          <w:lang w:val="es-MX"/>
        </w:rPr>
        <w:t>medular</w:t>
      </w:r>
      <w:r w:rsidRPr="0050035B">
        <w:rPr>
          <w:rFonts w:ascii="Century Gothic" w:hAnsi="Century Gothic"/>
          <w:i/>
          <w:lang w:val="es-MX"/>
        </w:rPr>
        <w:t xml:space="preserve"> de este documento, la contiene la</w:t>
      </w:r>
      <w:r w:rsidR="00CB29F2" w:rsidRPr="0050035B">
        <w:rPr>
          <w:rFonts w:ascii="Century Gothic" w:hAnsi="Century Gothic"/>
          <w:i/>
          <w:lang w:val="es-MX"/>
        </w:rPr>
        <w:t xml:space="preserve"> cuarta sección: </w:t>
      </w:r>
      <w:r w:rsidR="001841FC" w:rsidRPr="0050035B">
        <w:rPr>
          <w:rFonts w:ascii="Century Gothic" w:hAnsi="Century Gothic"/>
          <w:i/>
          <w:lang w:val="es-MX"/>
        </w:rPr>
        <w:t>“</w:t>
      </w:r>
      <w:r w:rsidR="0010622F" w:rsidRPr="0010622F">
        <w:rPr>
          <w:rFonts w:ascii="Century Gothic" w:hAnsi="Century Gothic"/>
          <w:b/>
          <w:i/>
          <w:lang w:val="es-MX"/>
        </w:rPr>
        <w:t>Descripción de las Estimaciones</w:t>
      </w:r>
      <w:r w:rsidR="001841FC" w:rsidRPr="0050035B">
        <w:rPr>
          <w:rFonts w:ascii="Century Gothic" w:hAnsi="Century Gothic"/>
          <w:i/>
          <w:lang w:val="es-MX"/>
        </w:rPr>
        <w:t xml:space="preserve"> </w:t>
      </w:r>
      <w:r w:rsidR="00071D0D" w:rsidRPr="0010622F">
        <w:rPr>
          <w:rFonts w:ascii="Century Gothic" w:hAnsi="Century Gothic"/>
          <w:b/>
          <w:i/>
          <w:lang w:val="es-MX"/>
        </w:rPr>
        <w:t>para</w:t>
      </w:r>
      <w:r w:rsidR="00852E08">
        <w:rPr>
          <w:rFonts w:ascii="Century Gothic" w:hAnsi="Century Gothic"/>
          <w:b/>
          <w:i/>
          <w:lang w:val="es-MX"/>
        </w:rPr>
        <w:t xml:space="preserve"> el</w:t>
      </w:r>
      <w:r w:rsidR="00071D0D" w:rsidRPr="0010622F">
        <w:rPr>
          <w:rFonts w:ascii="Century Gothic" w:hAnsi="Century Gothic"/>
          <w:b/>
          <w:i/>
          <w:lang w:val="es-MX"/>
        </w:rPr>
        <w:t xml:space="preserve"> 202</w:t>
      </w:r>
      <w:r w:rsidRPr="0010622F">
        <w:rPr>
          <w:rFonts w:ascii="Century Gothic" w:hAnsi="Century Gothic"/>
          <w:b/>
          <w:i/>
          <w:lang w:val="es-MX"/>
        </w:rPr>
        <w:t>2</w:t>
      </w:r>
      <w:r w:rsidR="0010622F">
        <w:rPr>
          <w:rFonts w:ascii="Century Gothic" w:hAnsi="Century Gothic"/>
          <w:i/>
          <w:lang w:val="es-MX"/>
        </w:rPr>
        <w:t>”</w:t>
      </w:r>
      <w:r w:rsidR="00071D0D" w:rsidRPr="0050035B">
        <w:rPr>
          <w:rFonts w:ascii="Century Gothic" w:hAnsi="Century Gothic"/>
          <w:i/>
          <w:lang w:val="es-MX"/>
        </w:rPr>
        <w:t>,</w:t>
      </w:r>
      <w:r w:rsidRPr="0050035B">
        <w:rPr>
          <w:rFonts w:ascii="Century Gothic" w:hAnsi="Century Gothic"/>
          <w:i/>
          <w:lang w:val="es-MX"/>
        </w:rPr>
        <w:t xml:space="preserve"> donde se</w:t>
      </w:r>
      <w:r w:rsidR="00071D0D" w:rsidRPr="0050035B">
        <w:rPr>
          <w:rFonts w:ascii="Century Gothic" w:hAnsi="Century Gothic"/>
          <w:i/>
          <w:lang w:val="es-MX"/>
        </w:rPr>
        <w:t xml:space="preserve"> </w:t>
      </w:r>
      <w:r w:rsidR="00CB29F2" w:rsidRPr="0050035B">
        <w:rPr>
          <w:rFonts w:ascii="Century Gothic" w:hAnsi="Century Gothic"/>
          <w:i/>
          <w:lang w:val="es-MX"/>
        </w:rPr>
        <w:t>establece</w:t>
      </w:r>
      <w:r w:rsidR="00071D0D" w:rsidRPr="0050035B">
        <w:rPr>
          <w:rFonts w:ascii="Century Gothic" w:hAnsi="Century Gothic"/>
          <w:i/>
          <w:lang w:val="es-MX"/>
        </w:rPr>
        <w:t xml:space="preserve"> </w:t>
      </w:r>
      <w:r w:rsidR="00D85782" w:rsidRPr="0050035B">
        <w:rPr>
          <w:rFonts w:ascii="Century Gothic" w:hAnsi="Century Gothic"/>
          <w:i/>
          <w:lang w:val="es-MX"/>
        </w:rPr>
        <w:t>el total</w:t>
      </w:r>
      <w:r w:rsidR="00CB29F2" w:rsidRPr="0050035B">
        <w:rPr>
          <w:rFonts w:ascii="Century Gothic" w:hAnsi="Century Gothic"/>
          <w:i/>
          <w:lang w:val="es-MX"/>
        </w:rPr>
        <w:t xml:space="preserve"> de los montos de ingresos que se prevé </w:t>
      </w:r>
      <w:r w:rsidR="0010622F">
        <w:rPr>
          <w:rFonts w:ascii="Century Gothic" w:hAnsi="Century Gothic"/>
          <w:i/>
          <w:lang w:val="es-MX"/>
        </w:rPr>
        <w:t>recibir</w:t>
      </w:r>
      <w:r w:rsidR="00B54456" w:rsidRPr="0050035B">
        <w:rPr>
          <w:rFonts w:ascii="Century Gothic" w:hAnsi="Century Gothic"/>
          <w:i/>
          <w:lang w:val="es-MX"/>
        </w:rPr>
        <w:t xml:space="preserve">. En esta sección se desarrollan además de las estimaciones totales, las estimaciones </w:t>
      </w:r>
      <w:r w:rsidR="00921B9A" w:rsidRPr="0050035B">
        <w:rPr>
          <w:rFonts w:ascii="Century Gothic" w:hAnsi="Century Gothic"/>
          <w:i/>
          <w:lang w:val="es-MX"/>
        </w:rPr>
        <w:t xml:space="preserve">pormenorizadas </w:t>
      </w:r>
      <w:r w:rsidR="00B54456" w:rsidRPr="0050035B">
        <w:rPr>
          <w:rFonts w:ascii="Century Gothic" w:hAnsi="Century Gothic"/>
          <w:i/>
          <w:lang w:val="es-MX"/>
        </w:rPr>
        <w:t>de ingresos</w:t>
      </w:r>
      <w:r w:rsidR="00D85782" w:rsidRPr="0050035B">
        <w:rPr>
          <w:rFonts w:ascii="Century Gothic" w:hAnsi="Century Gothic"/>
          <w:i/>
          <w:lang w:val="es-MX"/>
        </w:rPr>
        <w:t xml:space="preserve"> por impuestos, </w:t>
      </w:r>
      <w:r w:rsidR="00B54456" w:rsidRPr="0050035B">
        <w:rPr>
          <w:rFonts w:ascii="Century Gothic" w:hAnsi="Century Gothic"/>
          <w:i/>
          <w:lang w:val="es-MX"/>
        </w:rPr>
        <w:t xml:space="preserve">derechos, productos, transferencias federales y </w:t>
      </w:r>
      <w:r w:rsidR="00921B9A" w:rsidRPr="0050035B">
        <w:rPr>
          <w:rFonts w:ascii="Century Gothic" w:hAnsi="Century Gothic"/>
          <w:i/>
          <w:lang w:val="es-MX"/>
        </w:rPr>
        <w:t xml:space="preserve">transferencias </w:t>
      </w:r>
      <w:r w:rsidR="00B54456" w:rsidRPr="0050035B">
        <w:rPr>
          <w:rFonts w:ascii="Century Gothic" w:hAnsi="Century Gothic"/>
          <w:i/>
          <w:lang w:val="es-MX"/>
        </w:rPr>
        <w:t xml:space="preserve">estatales; </w:t>
      </w:r>
      <w:r w:rsidR="00F11A32">
        <w:rPr>
          <w:rFonts w:ascii="Century Gothic" w:hAnsi="Century Gothic"/>
          <w:i/>
          <w:lang w:val="es-MX"/>
        </w:rPr>
        <w:t>así como</w:t>
      </w:r>
      <w:r w:rsidR="00921B9A" w:rsidRPr="0050035B">
        <w:rPr>
          <w:rFonts w:ascii="Century Gothic" w:hAnsi="Century Gothic"/>
          <w:i/>
          <w:lang w:val="es-MX"/>
        </w:rPr>
        <w:t xml:space="preserve"> </w:t>
      </w:r>
      <w:r w:rsidR="00B54456" w:rsidRPr="0050035B">
        <w:rPr>
          <w:rFonts w:ascii="Century Gothic" w:hAnsi="Century Gothic"/>
          <w:i/>
          <w:lang w:val="es-MX"/>
        </w:rPr>
        <w:t>un resumen respecto a su naturaleza</w:t>
      </w:r>
      <w:r w:rsidR="00F11A32">
        <w:rPr>
          <w:rFonts w:ascii="Century Gothic" w:hAnsi="Century Gothic"/>
          <w:i/>
          <w:lang w:val="es-MX"/>
        </w:rPr>
        <w:t xml:space="preserve">, un </w:t>
      </w:r>
      <w:r w:rsidR="00F11A32">
        <w:rPr>
          <w:rFonts w:ascii="Century Gothic" w:hAnsi="Century Gothic"/>
          <w:i/>
          <w:lang w:val="es-MX"/>
        </w:rPr>
        <w:lastRenderedPageBreak/>
        <w:t>análisis histórico de su</w:t>
      </w:r>
      <w:r w:rsidRPr="0050035B">
        <w:rPr>
          <w:rFonts w:ascii="Century Gothic" w:hAnsi="Century Gothic"/>
          <w:i/>
          <w:lang w:val="es-MX"/>
        </w:rPr>
        <w:t xml:space="preserve"> comportamiento </w:t>
      </w:r>
      <w:r w:rsidR="00F11A32">
        <w:rPr>
          <w:rFonts w:ascii="Century Gothic" w:hAnsi="Century Gothic"/>
          <w:i/>
          <w:lang w:val="es-MX"/>
        </w:rPr>
        <w:t>por tipo de</w:t>
      </w:r>
      <w:r w:rsidRPr="0050035B">
        <w:rPr>
          <w:rFonts w:ascii="Century Gothic" w:hAnsi="Century Gothic"/>
          <w:i/>
          <w:lang w:val="es-MX"/>
        </w:rPr>
        <w:t xml:space="preserve"> ingreso</w:t>
      </w:r>
      <w:r w:rsidR="00B54456" w:rsidRPr="0050035B">
        <w:rPr>
          <w:rFonts w:ascii="Century Gothic" w:hAnsi="Century Gothic"/>
          <w:i/>
          <w:lang w:val="es-MX"/>
        </w:rPr>
        <w:t xml:space="preserve"> y una breve justificación </w:t>
      </w:r>
      <w:r w:rsidR="00921B9A" w:rsidRPr="0050035B">
        <w:rPr>
          <w:rFonts w:ascii="Century Gothic" w:hAnsi="Century Gothic"/>
          <w:i/>
          <w:lang w:val="es-MX"/>
        </w:rPr>
        <w:t>de las proyecciones presentadas.</w:t>
      </w:r>
      <w:r w:rsidR="00B54456" w:rsidRPr="0050035B">
        <w:rPr>
          <w:rFonts w:ascii="Century Gothic" w:hAnsi="Century Gothic"/>
          <w:i/>
          <w:lang w:val="es-MX"/>
        </w:rPr>
        <w:t xml:space="preserve"> </w:t>
      </w:r>
    </w:p>
    <w:p w:rsidR="001841FC" w:rsidRPr="0050035B" w:rsidRDefault="001841FC" w:rsidP="001841FC">
      <w:pPr>
        <w:spacing w:line="360" w:lineRule="auto"/>
        <w:ind w:firstLine="720"/>
        <w:jc w:val="both"/>
        <w:rPr>
          <w:rFonts w:ascii="Century Gothic" w:hAnsi="Century Gothic"/>
          <w:i/>
          <w:lang w:val="es-MX"/>
        </w:rPr>
      </w:pPr>
    </w:p>
    <w:p w:rsidR="003E784D" w:rsidRPr="0050035B" w:rsidRDefault="00C229DF" w:rsidP="003E784D">
      <w:pPr>
        <w:spacing w:line="360" w:lineRule="auto"/>
        <w:ind w:firstLine="720"/>
        <w:jc w:val="both"/>
        <w:rPr>
          <w:rFonts w:ascii="Century Gothic" w:hAnsi="Century Gothic"/>
          <w:i/>
          <w:lang w:val="es-MX"/>
        </w:rPr>
      </w:pPr>
      <w:r w:rsidRPr="0050035B">
        <w:rPr>
          <w:rFonts w:ascii="Century Gothic" w:hAnsi="Century Gothic"/>
          <w:i/>
          <w:lang w:val="es-MX"/>
        </w:rPr>
        <w:t>Finalmente, la</w:t>
      </w:r>
      <w:r w:rsidR="00B54456" w:rsidRPr="0050035B">
        <w:rPr>
          <w:rFonts w:ascii="Century Gothic" w:hAnsi="Century Gothic"/>
          <w:i/>
          <w:lang w:val="es-MX"/>
        </w:rPr>
        <w:t xml:space="preserve"> quinta </w:t>
      </w:r>
      <w:r w:rsidR="00753D58" w:rsidRPr="0050035B">
        <w:rPr>
          <w:rFonts w:ascii="Century Gothic" w:hAnsi="Century Gothic"/>
          <w:i/>
          <w:lang w:val="es-MX"/>
        </w:rPr>
        <w:t>sección</w:t>
      </w:r>
      <w:r w:rsidR="00B54456" w:rsidRPr="0050035B">
        <w:rPr>
          <w:rFonts w:ascii="Century Gothic" w:hAnsi="Century Gothic"/>
          <w:i/>
          <w:lang w:val="es-MX"/>
        </w:rPr>
        <w:t>: “</w:t>
      </w:r>
      <w:r w:rsidR="00B54456" w:rsidRPr="0010622F">
        <w:rPr>
          <w:rFonts w:ascii="Century Gothic" w:hAnsi="Century Gothic"/>
          <w:b/>
          <w:i/>
          <w:lang w:val="es-MX"/>
        </w:rPr>
        <w:t>Glosario</w:t>
      </w:r>
      <w:r w:rsidR="00B54456" w:rsidRPr="0050035B">
        <w:rPr>
          <w:rFonts w:ascii="Century Gothic" w:hAnsi="Century Gothic"/>
          <w:i/>
          <w:lang w:val="es-MX"/>
        </w:rPr>
        <w:t xml:space="preserve">” </w:t>
      </w:r>
      <w:r w:rsidR="00231F23" w:rsidRPr="0050035B">
        <w:rPr>
          <w:rFonts w:ascii="Century Gothic" w:hAnsi="Century Gothic"/>
          <w:i/>
          <w:lang w:val="es-MX"/>
        </w:rPr>
        <w:t>puntualiza</w:t>
      </w:r>
      <w:r w:rsidR="00B54456" w:rsidRPr="0050035B">
        <w:rPr>
          <w:rFonts w:ascii="Century Gothic" w:hAnsi="Century Gothic"/>
          <w:i/>
          <w:lang w:val="es-MX"/>
        </w:rPr>
        <w:t xml:space="preserve"> el</w:t>
      </w:r>
      <w:r w:rsidR="003E784D" w:rsidRPr="0050035B">
        <w:rPr>
          <w:rFonts w:ascii="Century Gothic" w:hAnsi="Century Gothic"/>
          <w:i/>
          <w:lang w:val="es-MX"/>
        </w:rPr>
        <w:t xml:space="preserve"> significado de los términos y conceptos utilizados</w:t>
      </w:r>
      <w:r w:rsidR="0096476C" w:rsidRPr="0050035B">
        <w:rPr>
          <w:rFonts w:ascii="Century Gothic" w:hAnsi="Century Gothic"/>
          <w:i/>
          <w:lang w:val="es-MX"/>
        </w:rPr>
        <w:t xml:space="preserve"> </w:t>
      </w:r>
      <w:r w:rsidR="00FC0858" w:rsidRPr="0050035B">
        <w:rPr>
          <w:rFonts w:ascii="Century Gothic" w:hAnsi="Century Gothic"/>
          <w:i/>
          <w:lang w:val="es-MX"/>
        </w:rPr>
        <w:t>a lo largo de</w:t>
      </w:r>
      <w:r w:rsidR="0096476C" w:rsidRPr="0050035B">
        <w:rPr>
          <w:rFonts w:ascii="Century Gothic" w:hAnsi="Century Gothic"/>
          <w:i/>
          <w:lang w:val="es-MX"/>
        </w:rPr>
        <w:t xml:space="preserve"> este documento,</w:t>
      </w:r>
      <w:r w:rsidR="003E784D" w:rsidRPr="0050035B">
        <w:rPr>
          <w:rFonts w:ascii="Century Gothic" w:hAnsi="Century Gothic"/>
          <w:i/>
          <w:lang w:val="es-MX"/>
        </w:rPr>
        <w:t xml:space="preserve"> para</w:t>
      </w:r>
      <w:r w:rsidRPr="0050035B">
        <w:rPr>
          <w:rFonts w:ascii="Century Gothic" w:hAnsi="Century Gothic"/>
          <w:i/>
          <w:lang w:val="es-MX"/>
        </w:rPr>
        <w:t xml:space="preserve"> lograr así una comprensión de los temas de forma clara y precisa</w:t>
      </w:r>
      <w:r w:rsidR="00231F23" w:rsidRPr="0050035B">
        <w:rPr>
          <w:rFonts w:ascii="Century Gothic" w:hAnsi="Century Gothic"/>
          <w:i/>
          <w:lang w:val="es-MX"/>
        </w:rPr>
        <w:t xml:space="preserve">. </w:t>
      </w:r>
      <w:r w:rsidR="0010622F">
        <w:rPr>
          <w:rFonts w:ascii="Century Gothic" w:hAnsi="Century Gothic"/>
          <w:i/>
          <w:lang w:val="es-MX"/>
        </w:rPr>
        <w:t>Dicho glosario está</w:t>
      </w:r>
      <w:r w:rsidR="00F11A32">
        <w:rPr>
          <w:rFonts w:ascii="Century Gothic" w:hAnsi="Century Gothic"/>
          <w:i/>
          <w:lang w:val="es-MX"/>
        </w:rPr>
        <w:t xml:space="preserve"> fundamentado en</w:t>
      </w:r>
      <w:r w:rsidR="00753D58" w:rsidRPr="0050035B">
        <w:rPr>
          <w:rFonts w:ascii="Century Gothic" w:hAnsi="Century Gothic"/>
          <w:i/>
          <w:lang w:val="es-MX"/>
        </w:rPr>
        <w:t xml:space="preserve"> las</w:t>
      </w:r>
      <w:r w:rsidR="00B54456" w:rsidRPr="0050035B">
        <w:rPr>
          <w:rFonts w:ascii="Century Gothic" w:hAnsi="Century Gothic"/>
          <w:i/>
          <w:lang w:val="es-MX"/>
        </w:rPr>
        <w:t xml:space="preserve"> </w:t>
      </w:r>
      <w:r w:rsidR="00753D58" w:rsidRPr="0050035B">
        <w:rPr>
          <w:rFonts w:ascii="Century Gothic" w:hAnsi="Century Gothic"/>
          <w:i/>
          <w:lang w:val="es-MX"/>
        </w:rPr>
        <w:t>leyes en materia presupuestal y financiera.</w:t>
      </w:r>
    </w:p>
    <w:p w:rsidR="00DD1E43" w:rsidRPr="0050035B" w:rsidRDefault="00DD1E43" w:rsidP="003E784D">
      <w:pPr>
        <w:spacing w:line="360" w:lineRule="auto"/>
        <w:ind w:firstLine="720"/>
        <w:jc w:val="both"/>
        <w:rPr>
          <w:rFonts w:ascii="Century Gothic" w:hAnsi="Century Gothic"/>
          <w:i/>
          <w:lang w:val="es-MX"/>
        </w:rPr>
      </w:pPr>
    </w:p>
    <w:p w:rsidR="00DD1E43" w:rsidRPr="0050035B" w:rsidRDefault="00EC2148" w:rsidP="00DD1E43">
      <w:pPr>
        <w:spacing w:line="360" w:lineRule="auto"/>
        <w:ind w:firstLine="720"/>
        <w:jc w:val="both"/>
        <w:rPr>
          <w:rFonts w:ascii="Century Gothic" w:hAnsi="Century Gothic"/>
          <w:i/>
          <w:lang w:val="es-MX"/>
        </w:rPr>
      </w:pPr>
      <w:r w:rsidRPr="0050035B">
        <w:rPr>
          <w:rFonts w:ascii="Century Gothic" w:hAnsi="Century Gothic"/>
          <w:i/>
          <w:lang w:val="es-MX"/>
        </w:rPr>
        <w:t>L</w:t>
      </w:r>
      <w:r w:rsidR="00D85782" w:rsidRPr="0050035B">
        <w:rPr>
          <w:rFonts w:ascii="Century Gothic" w:hAnsi="Century Gothic"/>
          <w:i/>
          <w:lang w:val="es-MX"/>
        </w:rPr>
        <w:t>a</w:t>
      </w:r>
      <w:r w:rsidR="00DD1E43" w:rsidRPr="0050035B">
        <w:rPr>
          <w:rFonts w:ascii="Century Gothic" w:hAnsi="Century Gothic"/>
          <w:i/>
          <w:lang w:val="es-MX"/>
        </w:rPr>
        <w:t xml:space="preserve"> Tesorería del Municipio de Monterrey presenta una proyección de ingresos para el ejercicio fiscal 202</w:t>
      </w:r>
      <w:r w:rsidR="00C229DF" w:rsidRPr="0050035B">
        <w:rPr>
          <w:rFonts w:ascii="Century Gothic" w:hAnsi="Century Gothic"/>
          <w:i/>
          <w:lang w:val="es-MX"/>
        </w:rPr>
        <w:t>2</w:t>
      </w:r>
      <w:r w:rsidR="00DD1E43" w:rsidRPr="0050035B">
        <w:rPr>
          <w:rFonts w:ascii="Century Gothic" w:hAnsi="Century Gothic"/>
          <w:i/>
          <w:lang w:val="es-MX"/>
        </w:rPr>
        <w:t xml:space="preserve">, </w:t>
      </w:r>
      <w:r w:rsidR="00D03903" w:rsidRPr="0050035B">
        <w:rPr>
          <w:rFonts w:ascii="Century Gothic" w:hAnsi="Century Gothic"/>
          <w:i/>
          <w:lang w:val="es-MX"/>
        </w:rPr>
        <w:t xml:space="preserve">considerando </w:t>
      </w:r>
      <w:r w:rsidRPr="0050035B">
        <w:rPr>
          <w:rFonts w:ascii="Century Gothic" w:hAnsi="Century Gothic"/>
          <w:i/>
          <w:lang w:val="es-MX"/>
        </w:rPr>
        <w:t>el comportamiento real</w:t>
      </w:r>
      <w:r w:rsidR="0010622F">
        <w:rPr>
          <w:rFonts w:ascii="Century Gothic" w:hAnsi="Century Gothic"/>
          <w:i/>
          <w:lang w:val="es-MX"/>
        </w:rPr>
        <w:t xml:space="preserve"> de los ingresos</w:t>
      </w:r>
      <w:r w:rsidR="003D6327" w:rsidRPr="0050035B">
        <w:rPr>
          <w:rFonts w:ascii="Century Gothic" w:hAnsi="Century Gothic"/>
          <w:i/>
          <w:lang w:val="es-MX"/>
        </w:rPr>
        <w:t xml:space="preserve"> </w:t>
      </w:r>
      <w:r w:rsidR="0010622F">
        <w:rPr>
          <w:rFonts w:ascii="Century Gothic" w:hAnsi="Century Gothic"/>
          <w:i/>
          <w:lang w:val="es-MX"/>
        </w:rPr>
        <w:t xml:space="preserve">en </w:t>
      </w:r>
      <w:r w:rsidR="003D6327" w:rsidRPr="0050035B">
        <w:rPr>
          <w:rFonts w:ascii="Century Gothic" w:hAnsi="Century Gothic"/>
          <w:i/>
          <w:lang w:val="es-MX"/>
        </w:rPr>
        <w:t>202</w:t>
      </w:r>
      <w:r w:rsidR="00C229DF" w:rsidRPr="0050035B">
        <w:rPr>
          <w:rFonts w:ascii="Century Gothic" w:hAnsi="Century Gothic"/>
          <w:i/>
          <w:lang w:val="es-MX"/>
        </w:rPr>
        <w:t>1</w:t>
      </w:r>
      <w:r w:rsidR="00DD1E43" w:rsidRPr="0050035B">
        <w:rPr>
          <w:rFonts w:ascii="Century Gothic" w:hAnsi="Century Gothic"/>
          <w:i/>
          <w:lang w:val="es-MX"/>
        </w:rPr>
        <w:t xml:space="preserve"> y </w:t>
      </w:r>
      <w:r w:rsidR="0010622F">
        <w:rPr>
          <w:rFonts w:ascii="Century Gothic" w:hAnsi="Century Gothic"/>
          <w:i/>
          <w:lang w:val="es-MX"/>
        </w:rPr>
        <w:t>con estricto</w:t>
      </w:r>
      <w:r w:rsidRPr="0050035B">
        <w:rPr>
          <w:rFonts w:ascii="Century Gothic" w:hAnsi="Century Gothic"/>
          <w:i/>
          <w:lang w:val="es-MX"/>
        </w:rPr>
        <w:t xml:space="preserve"> apego a</w:t>
      </w:r>
      <w:r w:rsidR="00DD1E43" w:rsidRPr="0050035B">
        <w:rPr>
          <w:rFonts w:ascii="Century Gothic" w:hAnsi="Century Gothic"/>
          <w:i/>
          <w:lang w:val="es-MX"/>
        </w:rPr>
        <w:t>l panorama económico,</w:t>
      </w:r>
      <w:r w:rsidR="00753D58" w:rsidRPr="0050035B">
        <w:rPr>
          <w:rFonts w:ascii="Century Gothic" w:hAnsi="Century Gothic"/>
          <w:i/>
          <w:lang w:val="es-MX"/>
        </w:rPr>
        <w:t xml:space="preserve"> </w:t>
      </w:r>
      <w:r w:rsidRPr="0050035B">
        <w:rPr>
          <w:rFonts w:ascii="Century Gothic" w:hAnsi="Century Gothic"/>
          <w:i/>
          <w:lang w:val="es-MX"/>
        </w:rPr>
        <w:t xml:space="preserve">sanitario, </w:t>
      </w:r>
      <w:r w:rsidR="00753D58" w:rsidRPr="0050035B">
        <w:rPr>
          <w:rFonts w:ascii="Century Gothic" w:hAnsi="Century Gothic"/>
          <w:i/>
          <w:lang w:val="es-MX"/>
        </w:rPr>
        <w:t xml:space="preserve">social, </w:t>
      </w:r>
      <w:r w:rsidR="003D6327" w:rsidRPr="0050035B">
        <w:rPr>
          <w:rFonts w:ascii="Century Gothic" w:hAnsi="Century Gothic"/>
          <w:i/>
          <w:lang w:val="es-MX"/>
        </w:rPr>
        <w:t>político</w:t>
      </w:r>
      <w:r w:rsidR="00DD1E43" w:rsidRPr="0050035B">
        <w:rPr>
          <w:rFonts w:ascii="Century Gothic" w:hAnsi="Century Gothic"/>
          <w:i/>
          <w:lang w:val="es-MX"/>
        </w:rPr>
        <w:t xml:space="preserve"> y financiero que determina el </w:t>
      </w:r>
      <w:r w:rsidR="007E599F">
        <w:rPr>
          <w:rFonts w:ascii="Century Gothic" w:hAnsi="Century Gothic"/>
          <w:i/>
          <w:lang w:val="es-MX"/>
        </w:rPr>
        <w:t>actuar</w:t>
      </w:r>
      <w:r w:rsidR="00DD1E43" w:rsidRPr="0050035B">
        <w:rPr>
          <w:rFonts w:ascii="Century Gothic" w:hAnsi="Century Gothic"/>
          <w:i/>
          <w:lang w:val="es-MX"/>
        </w:rPr>
        <w:t xml:space="preserve"> de la Hacienda Municipal</w:t>
      </w:r>
      <w:r w:rsidR="00D03903" w:rsidRPr="0050035B">
        <w:rPr>
          <w:rFonts w:ascii="Century Gothic" w:hAnsi="Century Gothic"/>
          <w:i/>
          <w:lang w:val="es-MX"/>
        </w:rPr>
        <w:t xml:space="preserve"> para el ejercicio fiscal 202</w:t>
      </w:r>
      <w:r w:rsidR="00C229DF" w:rsidRPr="0050035B">
        <w:rPr>
          <w:rFonts w:ascii="Century Gothic" w:hAnsi="Century Gothic"/>
          <w:i/>
          <w:lang w:val="es-MX"/>
        </w:rPr>
        <w:t xml:space="preserve">2; </w:t>
      </w:r>
      <w:r w:rsidR="0010622F">
        <w:rPr>
          <w:rFonts w:ascii="Century Gothic" w:hAnsi="Century Gothic"/>
          <w:i/>
          <w:lang w:val="es-MX"/>
        </w:rPr>
        <w:t xml:space="preserve">y </w:t>
      </w:r>
      <w:r w:rsidR="00C229DF" w:rsidRPr="0050035B">
        <w:rPr>
          <w:rFonts w:ascii="Century Gothic" w:hAnsi="Century Gothic"/>
          <w:i/>
          <w:lang w:val="es-MX"/>
        </w:rPr>
        <w:t>con sustento en los principios y criterios generales en materia hacendaria, presupuestaria y financiera que imp</w:t>
      </w:r>
      <w:r w:rsidR="0010622F">
        <w:rPr>
          <w:rFonts w:ascii="Century Gothic" w:hAnsi="Century Gothic"/>
          <w:i/>
          <w:lang w:val="es-MX"/>
        </w:rPr>
        <w:t>actan al Municipio de Monterrey.</w:t>
      </w:r>
    </w:p>
    <w:p w:rsidR="003E784D" w:rsidRPr="0050035B" w:rsidRDefault="003E784D" w:rsidP="00071D0D">
      <w:pPr>
        <w:spacing w:line="360" w:lineRule="auto"/>
        <w:ind w:firstLine="720"/>
        <w:jc w:val="both"/>
        <w:rPr>
          <w:rFonts w:ascii="Century Gothic" w:hAnsi="Century Gothic"/>
          <w:i/>
          <w:lang w:val="es-MX"/>
        </w:rPr>
      </w:pPr>
    </w:p>
    <w:p w:rsidR="00DE3651" w:rsidRPr="0050035B" w:rsidRDefault="00C229DF" w:rsidP="00DE3651">
      <w:pPr>
        <w:spacing w:line="360" w:lineRule="auto"/>
        <w:ind w:firstLine="720"/>
        <w:jc w:val="both"/>
        <w:rPr>
          <w:rFonts w:ascii="Century Gothic" w:hAnsi="Century Gothic"/>
          <w:i/>
          <w:lang w:val="es-MX"/>
        </w:rPr>
      </w:pPr>
      <w:r w:rsidRPr="0050035B">
        <w:rPr>
          <w:rFonts w:ascii="Century Gothic" w:hAnsi="Century Gothic"/>
          <w:i/>
          <w:lang w:val="es-MX"/>
        </w:rPr>
        <w:t xml:space="preserve">Este </w:t>
      </w:r>
      <w:r w:rsidR="00F11A32" w:rsidRPr="0050035B">
        <w:rPr>
          <w:rFonts w:ascii="Century Gothic" w:hAnsi="Century Gothic"/>
          <w:i/>
          <w:lang w:val="es-MX"/>
        </w:rPr>
        <w:t>documento,</w:t>
      </w:r>
      <w:r w:rsidR="00F11A32">
        <w:rPr>
          <w:rFonts w:ascii="Century Gothic" w:hAnsi="Century Gothic"/>
          <w:i/>
          <w:lang w:val="es-MX"/>
        </w:rPr>
        <w:t xml:space="preserve"> </w:t>
      </w:r>
      <w:r w:rsidRPr="0050035B">
        <w:rPr>
          <w:rFonts w:ascii="Century Gothic" w:hAnsi="Century Gothic"/>
          <w:i/>
          <w:lang w:val="es-MX"/>
        </w:rPr>
        <w:t xml:space="preserve">funge </w:t>
      </w:r>
      <w:r w:rsidR="00F11A32">
        <w:rPr>
          <w:rFonts w:ascii="Century Gothic" w:hAnsi="Century Gothic"/>
          <w:i/>
          <w:lang w:val="es-MX"/>
        </w:rPr>
        <w:t xml:space="preserve">también </w:t>
      </w:r>
      <w:r w:rsidRPr="0050035B">
        <w:rPr>
          <w:rFonts w:ascii="Century Gothic" w:hAnsi="Century Gothic"/>
          <w:i/>
          <w:lang w:val="es-MX"/>
        </w:rPr>
        <w:t>como un instrumento de rendición de cuentas donde</w:t>
      </w:r>
      <w:r w:rsidR="00FD7DC2" w:rsidRPr="0050035B">
        <w:rPr>
          <w:rFonts w:ascii="Century Gothic" w:hAnsi="Century Gothic"/>
          <w:i/>
          <w:lang w:val="es-MX"/>
        </w:rPr>
        <w:t xml:space="preserve"> la ciudadanía de Monterrey </w:t>
      </w:r>
      <w:r w:rsidR="00D03903" w:rsidRPr="0050035B">
        <w:rPr>
          <w:rFonts w:ascii="Century Gothic" w:hAnsi="Century Gothic"/>
          <w:i/>
          <w:lang w:val="es-MX"/>
        </w:rPr>
        <w:t>en el uso de su derecho</w:t>
      </w:r>
      <w:r w:rsidR="00753D58" w:rsidRPr="0050035B">
        <w:rPr>
          <w:rFonts w:ascii="Century Gothic" w:hAnsi="Century Gothic"/>
          <w:i/>
          <w:lang w:val="es-MX"/>
        </w:rPr>
        <w:t xml:space="preserve"> a la transparencia</w:t>
      </w:r>
      <w:r w:rsidR="00DE3651" w:rsidRPr="0050035B">
        <w:rPr>
          <w:rFonts w:ascii="Century Gothic" w:hAnsi="Century Gothic"/>
          <w:i/>
          <w:lang w:val="es-MX"/>
        </w:rPr>
        <w:t xml:space="preserve"> </w:t>
      </w:r>
      <w:r w:rsidRPr="0050035B">
        <w:rPr>
          <w:rFonts w:ascii="Century Gothic" w:hAnsi="Century Gothic"/>
          <w:i/>
          <w:lang w:val="es-MX"/>
        </w:rPr>
        <w:t>y acceso a la información pública</w:t>
      </w:r>
      <w:r w:rsidR="00DE3651" w:rsidRPr="0050035B">
        <w:rPr>
          <w:rFonts w:ascii="Century Gothic" w:hAnsi="Century Gothic"/>
          <w:i/>
          <w:lang w:val="es-MX"/>
        </w:rPr>
        <w:t>;</w:t>
      </w:r>
      <w:r w:rsidR="00F11A32">
        <w:rPr>
          <w:rFonts w:ascii="Century Gothic" w:hAnsi="Century Gothic"/>
          <w:i/>
          <w:lang w:val="es-MX"/>
        </w:rPr>
        <w:t xml:space="preserve"> podrá</w:t>
      </w:r>
      <w:r w:rsidR="00753D58" w:rsidRPr="0050035B">
        <w:rPr>
          <w:rFonts w:ascii="Century Gothic" w:hAnsi="Century Gothic"/>
          <w:i/>
          <w:lang w:val="es-MX"/>
        </w:rPr>
        <w:t xml:space="preserve"> </w:t>
      </w:r>
      <w:r w:rsidR="00F11A32">
        <w:rPr>
          <w:rFonts w:ascii="Century Gothic" w:hAnsi="Century Gothic"/>
          <w:i/>
          <w:lang w:val="es-MX"/>
        </w:rPr>
        <w:t>conocer</w:t>
      </w:r>
      <w:r w:rsidR="00FD7DC2" w:rsidRPr="0050035B">
        <w:rPr>
          <w:rFonts w:ascii="Century Gothic" w:hAnsi="Century Gothic"/>
          <w:i/>
          <w:lang w:val="es-MX"/>
        </w:rPr>
        <w:t>, comprend</w:t>
      </w:r>
      <w:r w:rsidR="00F11A32">
        <w:rPr>
          <w:rFonts w:ascii="Century Gothic" w:hAnsi="Century Gothic"/>
          <w:i/>
          <w:lang w:val="es-MX"/>
        </w:rPr>
        <w:t>er</w:t>
      </w:r>
      <w:r w:rsidR="00FD7DC2" w:rsidRPr="0050035B">
        <w:rPr>
          <w:rFonts w:ascii="Century Gothic" w:hAnsi="Century Gothic"/>
          <w:i/>
          <w:lang w:val="es-MX"/>
        </w:rPr>
        <w:t xml:space="preserve"> y anali</w:t>
      </w:r>
      <w:r w:rsidR="00F11A32">
        <w:rPr>
          <w:rFonts w:ascii="Century Gothic" w:hAnsi="Century Gothic"/>
          <w:i/>
          <w:lang w:val="es-MX"/>
        </w:rPr>
        <w:t>zar</w:t>
      </w:r>
      <w:r w:rsidR="00FD7DC2" w:rsidRPr="0050035B">
        <w:rPr>
          <w:rFonts w:ascii="Century Gothic" w:hAnsi="Century Gothic"/>
          <w:i/>
          <w:lang w:val="es-MX"/>
        </w:rPr>
        <w:t xml:space="preserve"> la forma en la que </w:t>
      </w:r>
      <w:r w:rsidR="00753D58" w:rsidRPr="0050035B">
        <w:rPr>
          <w:rFonts w:ascii="Century Gothic" w:hAnsi="Century Gothic"/>
          <w:i/>
          <w:lang w:val="es-MX"/>
        </w:rPr>
        <w:t>el Municipio de Monterrey</w:t>
      </w:r>
      <w:r w:rsidR="00FD7DC2" w:rsidRPr="0050035B">
        <w:rPr>
          <w:rFonts w:ascii="Century Gothic" w:hAnsi="Century Gothic"/>
          <w:i/>
          <w:lang w:val="es-MX"/>
        </w:rPr>
        <w:t xml:space="preserve"> estructura y estima los ingresos </w:t>
      </w:r>
      <w:r w:rsidR="00753D58" w:rsidRPr="0050035B">
        <w:rPr>
          <w:rFonts w:ascii="Century Gothic" w:hAnsi="Century Gothic"/>
          <w:i/>
          <w:lang w:val="es-MX"/>
        </w:rPr>
        <w:t xml:space="preserve">que proyecta obtener </w:t>
      </w:r>
      <w:r w:rsidR="00FD7DC2" w:rsidRPr="0050035B">
        <w:rPr>
          <w:rFonts w:ascii="Century Gothic" w:hAnsi="Century Gothic"/>
          <w:i/>
          <w:lang w:val="es-MX"/>
        </w:rPr>
        <w:t>para el ejercicio fiscal 202</w:t>
      </w:r>
      <w:r w:rsidRPr="0050035B">
        <w:rPr>
          <w:rFonts w:ascii="Century Gothic" w:hAnsi="Century Gothic"/>
          <w:i/>
          <w:lang w:val="es-MX"/>
        </w:rPr>
        <w:t>2</w:t>
      </w:r>
      <w:r w:rsidR="00FD7DC2" w:rsidRPr="0050035B">
        <w:rPr>
          <w:rFonts w:ascii="Century Gothic" w:hAnsi="Century Gothic"/>
          <w:i/>
          <w:lang w:val="es-MX"/>
        </w:rPr>
        <w:t xml:space="preserve">. </w:t>
      </w:r>
    </w:p>
    <w:p w:rsidR="00071D0D" w:rsidRPr="0050035B" w:rsidRDefault="00071D0D" w:rsidP="00CF13F6">
      <w:pPr>
        <w:spacing w:line="360" w:lineRule="auto"/>
        <w:rPr>
          <w:rFonts w:ascii="Century Gothic" w:hAnsi="Century Gothic"/>
          <w:b/>
          <w:lang w:val="es-MX"/>
        </w:rPr>
      </w:pPr>
    </w:p>
    <w:p w:rsidR="00065C78" w:rsidRPr="0050035B" w:rsidRDefault="00065C78">
      <w:pPr>
        <w:rPr>
          <w:rFonts w:ascii="Century Gothic" w:hAnsi="Century Gothic"/>
          <w:b/>
          <w:lang w:val="es-MX"/>
        </w:rPr>
      </w:pPr>
      <w:r w:rsidRPr="0050035B">
        <w:rPr>
          <w:rFonts w:ascii="Century Gothic" w:hAnsi="Century Gothic"/>
          <w:b/>
          <w:lang w:val="es-MX"/>
        </w:rPr>
        <w:br w:type="page"/>
      </w:r>
    </w:p>
    <w:p w:rsidR="001B11C7" w:rsidRPr="0050035B" w:rsidRDefault="00CF13F6" w:rsidP="00CF13F6">
      <w:pPr>
        <w:spacing w:line="360" w:lineRule="auto"/>
        <w:rPr>
          <w:rFonts w:ascii="Century Gothic" w:hAnsi="Century Gothic"/>
          <w:b/>
          <w:lang w:val="es-MX"/>
        </w:rPr>
      </w:pPr>
      <w:r w:rsidRPr="0050035B">
        <w:rPr>
          <w:rFonts w:ascii="Century Gothic" w:hAnsi="Century Gothic"/>
          <w:b/>
          <w:lang w:val="es-MX"/>
        </w:rPr>
        <w:lastRenderedPageBreak/>
        <w:t>I</w:t>
      </w:r>
      <w:r w:rsidR="002B2666" w:rsidRPr="0050035B">
        <w:rPr>
          <w:rFonts w:ascii="Century Gothic" w:hAnsi="Century Gothic"/>
          <w:b/>
          <w:lang w:val="es-MX"/>
        </w:rPr>
        <w:t>. MARCO NORMATIVO</w:t>
      </w:r>
    </w:p>
    <w:p w:rsidR="003672EE" w:rsidRPr="0050035B" w:rsidRDefault="00C229DF" w:rsidP="00FE6643">
      <w:pPr>
        <w:spacing w:line="360" w:lineRule="auto"/>
        <w:jc w:val="both"/>
        <w:rPr>
          <w:rFonts w:ascii="Century Gothic" w:hAnsi="Century Gothic"/>
          <w:lang w:val="es-MX"/>
        </w:rPr>
      </w:pPr>
      <w:r w:rsidRPr="0050035B">
        <w:rPr>
          <w:rFonts w:ascii="Century Gothic" w:hAnsi="Century Gothic"/>
          <w:lang w:val="es-MX"/>
        </w:rPr>
        <w:t>La elaboración de este proyecto de</w:t>
      </w:r>
      <w:r w:rsidR="001B11C7" w:rsidRPr="0050035B">
        <w:rPr>
          <w:rFonts w:ascii="Century Gothic" w:hAnsi="Century Gothic"/>
          <w:lang w:val="es-MX"/>
        </w:rPr>
        <w:t xml:space="preserve"> iniciativa</w:t>
      </w:r>
      <w:r w:rsidR="000E0C50" w:rsidRPr="0050035B">
        <w:rPr>
          <w:rFonts w:ascii="Century Gothic" w:hAnsi="Century Gothic"/>
          <w:lang w:val="es-MX"/>
        </w:rPr>
        <w:t xml:space="preserve"> </w:t>
      </w:r>
      <w:r w:rsidR="00F11A32">
        <w:rPr>
          <w:rFonts w:ascii="Century Gothic" w:hAnsi="Century Gothic"/>
          <w:lang w:val="es-MX"/>
        </w:rPr>
        <w:t>responde a una serie de</w:t>
      </w:r>
      <w:r w:rsidR="000E0C50" w:rsidRPr="0050035B">
        <w:rPr>
          <w:rFonts w:ascii="Century Gothic" w:hAnsi="Century Gothic"/>
          <w:lang w:val="es-MX"/>
        </w:rPr>
        <w:t xml:space="preserve"> </w:t>
      </w:r>
      <w:r w:rsidR="003672EE" w:rsidRPr="0050035B">
        <w:rPr>
          <w:rFonts w:ascii="Century Gothic" w:hAnsi="Century Gothic"/>
          <w:lang w:val="es-MX"/>
        </w:rPr>
        <w:t>di</w:t>
      </w:r>
      <w:r w:rsidR="000E0C50" w:rsidRPr="0050035B">
        <w:rPr>
          <w:rFonts w:ascii="Century Gothic" w:hAnsi="Century Gothic"/>
          <w:lang w:val="es-MX"/>
        </w:rPr>
        <w:t xml:space="preserve">sposiciones normativas de carácter </w:t>
      </w:r>
      <w:r w:rsidR="00CD3785" w:rsidRPr="0050035B">
        <w:rPr>
          <w:rFonts w:ascii="Century Gothic" w:hAnsi="Century Gothic"/>
          <w:lang w:val="es-MX"/>
        </w:rPr>
        <w:t>general</w:t>
      </w:r>
      <w:r w:rsidR="000E0C50" w:rsidRPr="0050035B">
        <w:rPr>
          <w:rFonts w:ascii="Century Gothic" w:hAnsi="Century Gothic"/>
          <w:lang w:val="es-MX"/>
        </w:rPr>
        <w:t>, estatal y municipal</w:t>
      </w:r>
      <w:r w:rsidR="00EE05CA" w:rsidRPr="0050035B">
        <w:rPr>
          <w:rFonts w:ascii="Century Gothic" w:hAnsi="Century Gothic"/>
          <w:lang w:val="es-MX"/>
        </w:rPr>
        <w:t xml:space="preserve"> </w:t>
      </w:r>
      <w:r w:rsidR="00CD3785" w:rsidRPr="0050035B">
        <w:rPr>
          <w:rFonts w:ascii="Century Gothic" w:hAnsi="Century Gothic"/>
          <w:lang w:val="es-MX"/>
        </w:rPr>
        <w:t>que impactan</w:t>
      </w:r>
      <w:r w:rsidRPr="0050035B">
        <w:rPr>
          <w:rFonts w:ascii="Century Gothic" w:hAnsi="Century Gothic"/>
          <w:lang w:val="es-MX"/>
        </w:rPr>
        <w:t xml:space="preserve"> de forma directa e indirecta en </w:t>
      </w:r>
      <w:r w:rsidR="00F11A32">
        <w:rPr>
          <w:rFonts w:ascii="Century Gothic" w:hAnsi="Century Gothic"/>
          <w:lang w:val="es-MX"/>
        </w:rPr>
        <w:t>la</w:t>
      </w:r>
      <w:r w:rsidRPr="0050035B">
        <w:rPr>
          <w:rFonts w:ascii="Century Gothic" w:hAnsi="Century Gothic"/>
          <w:lang w:val="es-MX"/>
        </w:rPr>
        <w:t xml:space="preserve"> recaudación </w:t>
      </w:r>
      <w:r w:rsidR="00CD3785" w:rsidRPr="0050035B">
        <w:rPr>
          <w:rFonts w:ascii="Century Gothic" w:hAnsi="Century Gothic"/>
          <w:lang w:val="es-MX"/>
        </w:rPr>
        <w:t xml:space="preserve">y captación de </w:t>
      </w:r>
      <w:r w:rsidR="009223C3" w:rsidRPr="0050035B">
        <w:rPr>
          <w:rFonts w:ascii="Century Gothic" w:hAnsi="Century Gothic"/>
          <w:lang w:val="es-MX"/>
        </w:rPr>
        <w:t>ingresos</w:t>
      </w:r>
      <w:r w:rsidR="009223C3">
        <w:rPr>
          <w:rFonts w:ascii="Century Gothic" w:hAnsi="Century Gothic"/>
          <w:lang w:val="es-MX"/>
        </w:rPr>
        <w:t>, así como su destino y, por tanto</w:t>
      </w:r>
      <w:r w:rsidR="00F11A32">
        <w:rPr>
          <w:rFonts w:ascii="Century Gothic" w:hAnsi="Century Gothic"/>
          <w:lang w:val="es-MX"/>
        </w:rPr>
        <w:t>, en las proyecciones de los mismos</w:t>
      </w:r>
      <w:r w:rsidR="00E916E4" w:rsidRPr="0050035B">
        <w:rPr>
          <w:rFonts w:ascii="Century Gothic" w:hAnsi="Century Gothic"/>
          <w:lang w:val="es-MX"/>
        </w:rPr>
        <w:t>.</w:t>
      </w:r>
      <w:r w:rsidR="000E0C50" w:rsidRPr="0050035B">
        <w:rPr>
          <w:rFonts w:ascii="Century Gothic" w:hAnsi="Century Gothic"/>
          <w:lang w:val="es-MX"/>
        </w:rPr>
        <w:t xml:space="preserve"> </w:t>
      </w:r>
    </w:p>
    <w:p w:rsidR="00CD3785" w:rsidRPr="0050035B" w:rsidRDefault="00CD3785" w:rsidP="00FE6643">
      <w:pPr>
        <w:spacing w:line="360" w:lineRule="auto"/>
        <w:jc w:val="both"/>
        <w:rPr>
          <w:rFonts w:ascii="Century Gothic" w:hAnsi="Century Gothic"/>
          <w:highlight w:val="yellow"/>
          <w:lang w:val="es-MX"/>
        </w:rPr>
      </w:pPr>
    </w:p>
    <w:p w:rsidR="00CD3785" w:rsidRPr="0050035B" w:rsidRDefault="00CD3785" w:rsidP="00FE6643">
      <w:pPr>
        <w:spacing w:line="360" w:lineRule="auto"/>
        <w:jc w:val="both"/>
        <w:rPr>
          <w:rFonts w:ascii="Century Gothic" w:hAnsi="Century Gothic"/>
          <w:lang w:val="es-MX"/>
        </w:rPr>
      </w:pPr>
      <w:r w:rsidRPr="0050035B">
        <w:rPr>
          <w:rFonts w:ascii="Century Gothic" w:hAnsi="Century Gothic"/>
          <w:lang w:val="es-MX"/>
        </w:rPr>
        <w:tab/>
      </w:r>
      <w:r w:rsidR="00065C78" w:rsidRPr="0050035B">
        <w:rPr>
          <w:rFonts w:ascii="Century Gothic" w:hAnsi="Century Gothic"/>
          <w:lang w:val="es-MX"/>
        </w:rPr>
        <w:t>Esta sección</w:t>
      </w:r>
      <w:r w:rsidRPr="0050035B">
        <w:rPr>
          <w:rFonts w:ascii="Century Gothic" w:hAnsi="Century Gothic"/>
          <w:lang w:val="es-MX"/>
        </w:rPr>
        <w:t xml:space="preserve"> </w:t>
      </w:r>
      <w:r w:rsidR="00D90746" w:rsidRPr="0050035B">
        <w:rPr>
          <w:rFonts w:ascii="Century Gothic" w:hAnsi="Century Gothic"/>
          <w:lang w:val="es-MX"/>
        </w:rPr>
        <w:t>incluye</w:t>
      </w:r>
      <w:r w:rsidR="00F11A32" w:rsidRPr="0050035B">
        <w:rPr>
          <w:rFonts w:ascii="Century Gothic" w:hAnsi="Century Gothic"/>
          <w:lang w:val="es-MX"/>
        </w:rPr>
        <w:t xml:space="preserve"> un análisis</w:t>
      </w:r>
      <w:r w:rsidR="00F11A32">
        <w:rPr>
          <w:rFonts w:ascii="Century Gothic" w:hAnsi="Century Gothic"/>
          <w:lang w:val="es-MX"/>
        </w:rPr>
        <w:t xml:space="preserve"> </w:t>
      </w:r>
      <w:r w:rsidR="009223C3">
        <w:rPr>
          <w:rFonts w:ascii="Century Gothic" w:hAnsi="Century Gothic"/>
          <w:lang w:val="es-MX"/>
        </w:rPr>
        <w:t>de</w:t>
      </w:r>
      <w:r w:rsidRPr="0050035B">
        <w:rPr>
          <w:rFonts w:ascii="Century Gothic" w:hAnsi="Century Gothic"/>
          <w:lang w:val="es-MX"/>
        </w:rPr>
        <w:t xml:space="preserve"> </w:t>
      </w:r>
      <w:r w:rsidR="00F11A32">
        <w:rPr>
          <w:rFonts w:ascii="Century Gothic" w:hAnsi="Century Gothic"/>
          <w:lang w:val="es-MX"/>
        </w:rPr>
        <w:t xml:space="preserve">las </w:t>
      </w:r>
      <w:r w:rsidRPr="0050035B">
        <w:rPr>
          <w:rFonts w:ascii="Century Gothic" w:hAnsi="Century Gothic"/>
          <w:lang w:val="es-MX"/>
        </w:rPr>
        <w:t xml:space="preserve">últimas reformas </w:t>
      </w:r>
      <w:r w:rsidR="00F11A32">
        <w:rPr>
          <w:rFonts w:ascii="Century Gothic" w:hAnsi="Century Gothic"/>
          <w:lang w:val="es-MX"/>
        </w:rPr>
        <w:t>de</w:t>
      </w:r>
      <w:r w:rsidRPr="0050035B">
        <w:rPr>
          <w:rFonts w:ascii="Century Gothic" w:hAnsi="Century Gothic"/>
          <w:lang w:val="es-MX"/>
        </w:rPr>
        <w:t xml:space="preserve"> las disposicio</w:t>
      </w:r>
      <w:r w:rsidR="00065C78" w:rsidRPr="0050035B">
        <w:rPr>
          <w:rFonts w:ascii="Century Gothic" w:hAnsi="Century Gothic"/>
          <w:lang w:val="es-MX"/>
        </w:rPr>
        <w:t xml:space="preserve">nes normativas </w:t>
      </w:r>
      <w:r w:rsidR="009223C3">
        <w:rPr>
          <w:rFonts w:ascii="Century Gothic" w:hAnsi="Century Gothic"/>
          <w:lang w:val="es-MX"/>
        </w:rPr>
        <w:t>en la materia</w:t>
      </w:r>
      <w:r w:rsidR="00065C78" w:rsidRPr="0050035B">
        <w:rPr>
          <w:rFonts w:ascii="Century Gothic" w:hAnsi="Century Gothic"/>
          <w:lang w:val="es-MX"/>
        </w:rPr>
        <w:t>,</w:t>
      </w:r>
      <w:r w:rsidRPr="0050035B">
        <w:rPr>
          <w:rFonts w:ascii="Century Gothic" w:hAnsi="Century Gothic"/>
          <w:lang w:val="es-MX"/>
        </w:rPr>
        <w:t xml:space="preserve"> </w:t>
      </w:r>
      <w:r w:rsidR="00065C78" w:rsidRPr="0050035B">
        <w:rPr>
          <w:rFonts w:ascii="Century Gothic" w:hAnsi="Century Gothic"/>
          <w:lang w:val="es-MX"/>
        </w:rPr>
        <w:t>m</w:t>
      </w:r>
      <w:r w:rsidRPr="0050035B">
        <w:rPr>
          <w:rFonts w:ascii="Century Gothic" w:hAnsi="Century Gothic"/>
          <w:lang w:val="es-MX"/>
        </w:rPr>
        <w:t xml:space="preserve">otivo por el cual se hará referencia </w:t>
      </w:r>
      <w:r w:rsidR="00F11A32">
        <w:rPr>
          <w:rFonts w:ascii="Century Gothic" w:hAnsi="Century Gothic"/>
          <w:lang w:val="es-MX"/>
        </w:rPr>
        <w:t xml:space="preserve">también </w:t>
      </w:r>
      <w:r w:rsidRPr="0050035B">
        <w:rPr>
          <w:rFonts w:ascii="Century Gothic" w:hAnsi="Century Gothic"/>
          <w:lang w:val="es-MX"/>
        </w:rPr>
        <w:t xml:space="preserve">a las disposiciones normativas transitorias </w:t>
      </w:r>
      <w:r w:rsidR="00F11A32">
        <w:rPr>
          <w:rFonts w:ascii="Century Gothic" w:hAnsi="Century Gothic"/>
          <w:lang w:val="es-MX"/>
        </w:rPr>
        <w:t>de</w:t>
      </w:r>
      <w:r w:rsidRPr="0050035B">
        <w:rPr>
          <w:rFonts w:ascii="Century Gothic" w:hAnsi="Century Gothic"/>
          <w:lang w:val="es-MX"/>
        </w:rPr>
        <w:t xml:space="preserve"> aplicación relevante, </w:t>
      </w:r>
      <w:r w:rsidR="00F11A32">
        <w:rPr>
          <w:rFonts w:ascii="Century Gothic" w:hAnsi="Century Gothic"/>
          <w:lang w:val="es-MX"/>
        </w:rPr>
        <w:t>particularmente en los casos que establezcan</w:t>
      </w:r>
      <w:r w:rsidRPr="0050035B">
        <w:rPr>
          <w:rFonts w:ascii="Century Gothic" w:hAnsi="Century Gothic"/>
          <w:lang w:val="es-MX"/>
        </w:rPr>
        <w:t xml:space="preserve"> criterios de aplicación progresiva de la ley. </w:t>
      </w:r>
    </w:p>
    <w:p w:rsidR="00FE6643" w:rsidRPr="0050035B" w:rsidRDefault="00FE6643" w:rsidP="00445763">
      <w:pPr>
        <w:spacing w:line="360" w:lineRule="auto"/>
        <w:jc w:val="both"/>
        <w:rPr>
          <w:rFonts w:ascii="Century Gothic" w:hAnsi="Century Gothic"/>
          <w:lang w:val="es-MX"/>
        </w:rPr>
      </w:pPr>
    </w:p>
    <w:p w:rsidR="00FE6643" w:rsidRPr="0050035B" w:rsidRDefault="00C960F0" w:rsidP="00065C78">
      <w:pPr>
        <w:spacing w:line="360" w:lineRule="auto"/>
        <w:jc w:val="both"/>
        <w:rPr>
          <w:rFonts w:ascii="Century Gothic" w:hAnsi="Century Gothic"/>
          <w:b/>
          <w:lang w:val="es-MX"/>
        </w:rPr>
      </w:pPr>
      <w:r w:rsidRPr="0050035B">
        <w:rPr>
          <w:rFonts w:ascii="Century Gothic" w:hAnsi="Century Gothic"/>
          <w:b/>
          <w:lang w:val="es-MX"/>
        </w:rPr>
        <w:t>1</w:t>
      </w:r>
      <w:r w:rsidR="00CF13F6" w:rsidRPr="0050035B">
        <w:rPr>
          <w:rFonts w:ascii="Century Gothic" w:hAnsi="Century Gothic"/>
          <w:b/>
          <w:lang w:val="es-MX"/>
        </w:rPr>
        <w:t>.1</w:t>
      </w:r>
      <w:r w:rsidR="00FE6643" w:rsidRPr="0050035B">
        <w:rPr>
          <w:rFonts w:ascii="Century Gothic" w:hAnsi="Century Gothic"/>
          <w:b/>
          <w:lang w:val="es-MX"/>
        </w:rPr>
        <w:t xml:space="preserve"> Legislación vigen</w:t>
      </w:r>
      <w:r w:rsidR="003576F8" w:rsidRPr="0050035B">
        <w:rPr>
          <w:rFonts w:ascii="Century Gothic" w:hAnsi="Century Gothic"/>
          <w:b/>
          <w:lang w:val="es-MX"/>
        </w:rPr>
        <w:t>te para el ejercicio fiscal 20</w:t>
      </w:r>
      <w:r w:rsidR="00071D0D" w:rsidRPr="0050035B">
        <w:rPr>
          <w:rFonts w:ascii="Century Gothic" w:hAnsi="Century Gothic"/>
          <w:b/>
          <w:lang w:val="es-MX"/>
        </w:rPr>
        <w:t>2</w:t>
      </w:r>
      <w:r w:rsidR="00375675" w:rsidRPr="0050035B">
        <w:rPr>
          <w:rFonts w:ascii="Century Gothic" w:hAnsi="Century Gothic"/>
          <w:b/>
          <w:lang w:val="es-MX"/>
        </w:rPr>
        <w:t>2</w:t>
      </w:r>
    </w:p>
    <w:p w:rsidR="003672EE" w:rsidRPr="0050035B" w:rsidRDefault="00E916E4" w:rsidP="00F015CB">
      <w:pPr>
        <w:spacing w:line="360" w:lineRule="auto"/>
        <w:jc w:val="both"/>
        <w:rPr>
          <w:rFonts w:ascii="Century Gothic" w:hAnsi="Century Gothic"/>
          <w:lang w:val="es-MX"/>
        </w:rPr>
      </w:pPr>
      <w:r w:rsidRPr="0050035B">
        <w:rPr>
          <w:rFonts w:ascii="Century Gothic" w:hAnsi="Century Gothic"/>
          <w:lang w:val="es-MX"/>
        </w:rPr>
        <w:t>El</w:t>
      </w:r>
      <w:r w:rsidR="003672EE" w:rsidRPr="0050035B">
        <w:rPr>
          <w:rFonts w:ascii="Century Gothic" w:hAnsi="Century Gothic"/>
          <w:lang w:val="es-MX"/>
        </w:rPr>
        <w:t xml:space="preserve"> </w:t>
      </w:r>
      <w:r w:rsidR="00876B66" w:rsidRPr="0050035B">
        <w:rPr>
          <w:rFonts w:ascii="Century Gothic" w:hAnsi="Century Gothic"/>
          <w:lang w:val="es-MX"/>
        </w:rPr>
        <w:t>listado que</w:t>
      </w:r>
      <w:r w:rsidR="003672EE" w:rsidRPr="0050035B">
        <w:rPr>
          <w:rFonts w:ascii="Century Gothic" w:hAnsi="Century Gothic"/>
          <w:lang w:val="es-MX"/>
        </w:rPr>
        <w:t xml:space="preserve"> se</w:t>
      </w:r>
      <w:r w:rsidR="00876B66" w:rsidRPr="0050035B">
        <w:rPr>
          <w:rFonts w:ascii="Century Gothic" w:hAnsi="Century Gothic"/>
          <w:lang w:val="es-MX"/>
        </w:rPr>
        <w:t xml:space="preserve"> </w:t>
      </w:r>
      <w:r w:rsidR="001E2E69" w:rsidRPr="0050035B">
        <w:rPr>
          <w:rFonts w:ascii="Century Gothic" w:hAnsi="Century Gothic"/>
          <w:lang w:val="es-MX"/>
        </w:rPr>
        <w:t xml:space="preserve">expone </w:t>
      </w:r>
      <w:r w:rsidR="00C76439" w:rsidRPr="0050035B">
        <w:rPr>
          <w:rFonts w:ascii="Century Gothic" w:hAnsi="Century Gothic"/>
          <w:lang w:val="es-MX"/>
        </w:rPr>
        <w:t>en la T</w:t>
      </w:r>
      <w:r w:rsidR="00D82B93" w:rsidRPr="0050035B">
        <w:rPr>
          <w:rFonts w:ascii="Century Gothic" w:hAnsi="Century Gothic"/>
          <w:lang w:val="es-MX"/>
        </w:rPr>
        <w:t>abla 1.1</w:t>
      </w:r>
      <w:r w:rsidR="003672EE" w:rsidRPr="0050035B">
        <w:rPr>
          <w:rFonts w:ascii="Century Gothic" w:hAnsi="Century Gothic"/>
          <w:lang w:val="es-MX"/>
        </w:rPr>
        <w:t xml:space="preserve"> </w:t>
      </w:r>
      <w:r w:rsidR="00876B66" w:rsidRPr="0050035B">
        <w:rPr>
          <w:rFonts w:ascii="Century Gothic" w:hAnsi="Century Gothic"/>
          <w:lang w:val="es-MX"/>
        </w:rPr>
        <w:t xml:space="preserve">es </w:t>
      </w:r>
      <w:r w:rsidR="003D448B" w:rsidRPr="0050035B">
        <w:rPr>
          <w:rFonts w:ascii="Century Gothic" w:hAnsi="Century Gothic"/>
          <w:lang w:val="es-MX"/>
        </w:rPr>
        <w:t>enunciativo</w:t>
      </w:r>
      <w:r w:rsidR="00876B66" w:rsidRPr="0050035B">
        <w:rPr>
          <w:rFonts w:ascii="Century Gothic" w:hAnsi="Century Gothic"/>
          <w:lang w:val="es-MX"/>
        </w:rPr>
        <w:t xml:space="preserve"> más no limitativo, </w:t>
      </w:r>
      <w:r w:rsidR="00C229DF" w:rsidRPr="0050035B">
        <w:rPr>
          <w:rFonts w:ascii="Century Gothic" w:hAnsi="Century Gothic"/>
          <w:lang w:val="es-MX"/>
        </w:rPr>
        <w:t>sobre todo en lo referente al articulado al que se hace referencia.</w:t>
      </w:r>
    </w:p>
    <w:p w:rsidR="00643208" w:rsidRPr="0050035B" w:rsidRDefault="00643208" w:rsidP="00643208">
      <w:pPr>
        <w:jc w:val="both"/>
        <w:rPr>
          <w:rFonts w:ascii="Century Gothic" w:hAnsi="Century Gothic"/>
          <w:b/>
          <w:lang w:val="es-MX"/>
        </w:rPr>
      </w:pPr>
    </w:p>
    <w:p w:rsidR="0022005C" w:rsidRPr="0050035B" w:rsidRDefault="0022005C" w:rsidP="000D167E">
      <w:pPr>
        <w:spacing w:line="276" w:lineRule="auto"/>
        <w:jc w:val="center"/>
        <w:rPr>
          <w:rFonts w:ascii="Century Gothic" w:hAnsi="Century Gothic"/>
          <w:i/>
          <w:sz w:val="22"/>
          <w:szCs w:val="22"/>
          <w:lang w:val="es-MX"/>
        </w:rPr>
      </w:pPr>
      <w:r w:rsidRPr="0050035B">
        <w:rPr>
          <w:rFonts w:ascii="Century Gothic" w:hAnsi="Century Gothic"/>
          <w:b/>
          <w:sz w:val="22"/>
          <w:szCs w:val="22"/>
          <w:lang w:val="es-MX"/>
        </w:rPr>
        <w:t>Tabla 1.1</w:t>
      </w:r>
      <w:r w:rsidR="00453DB9" w:rsidRPr="0050035B">
        <w:rPr>
          <w:rFonts w:ascii="Century Gothic" w:hAnsi="Century Gothic"/>
          <w:b/>
          <w:sz w:val="22"/>
          <w:szCs w:val="22"/>
          <w:lang w:val="es-MX"/>
        </w:rPr>
        <w:t>.</w:t>
      </w:r>
      <w:r w:rsidRPr="0050035B">
        <w:rPr>
          <w:rFonts w:ascii="Century Gothic" w:hAnsi="Century Gothic"/>
          <w:sz w:val="22"/>
          <w:szCs w:val="22"/>
          <w:lang w:val="es-MX"/>
        </w:rPr>
        <w:t xml:space="preserve"> Marco normativo vigente, aplicable al </w:t>
      </w:r>
      <w:r w:rsidR="00065C78" w:rsidRPr="0050035B">
        <w:rPr>
          <w:rFonts w:ascii="Century Gothic" w:hAnsi="Century Gothic"/>
          <w:sz w:val="22"/>
          <w:szCs w:val="22"/>
          <w:lang w:val="es-MX"/>
        </w:rPr>
        <w:t>Proyecto de Presupuesto de Ingresos</w:t>
      </w:r>
      <w:r w:rsidR="004902BF" w:rsidRPr="0050035B">
        <w:rPr>
          <w:rFonts w:ascii="Century Gothic" w:hAnsi="Century Gothic"/>
          <w:sz w:val="22"/>
          <w:szCs w:val="22"/>
          <w:lang w:val="es-MX"/>
        </w:rPr>
        <w:t xml:space="preserve"> 20</w:t>
      </w:r>
      <w:r w:rsidR="00071D0D" w:rsidRPr="0050035B">
        <w:rPr>
          <w:rFonts w:ascii="Century Gothic" w:hAnsi="Century Gothic"/>
          <w:sz w:val="22"/>
          <w:szCs w:val="22"/>
          <w:lang w:val="es-MX"/>
        </w:rPr>
        <w:t>2</w:t>
      </w:r>
      <w:r w:rsidR="00375675" w:rsidRPr="0050035B">
        <w:rPr>
          <w:rFonts w:ascii="Century Gothic" w:hAnsi="Century Gothic"/>
          <w:sz w:val="22"/>
          <w:szCs w:val="22"/>
          <w:lang w:val="es-MX"/>
        </w:rPr>
        <w:t>2</w:t>
      </w:r>
      <w:r w:rsidRPr="0050035B">
        <w:rPr>
          <w:rFonts w:ascii="Century Gothic" w:hAnsi="Century Gothic"/>
          <w:i/>
          <w:sz w:val="22"/>
          <w:szCs w:val="22"/>
          <w:lang w:val="es-MX"/>
        </w:rPr>
        <w:t>.</w:t>
      </w:r>
    </w:p>
    <w:tbl>
      <w:tblPr>
        <w:tblStyle w:val="Tablaconcuadrcula"/>
        <w:tblW w:w="0" w:type="auto"/>
        <w:tblLook w:val="04A0" w:firstRow="1" w:lastRow="0" w:firstColumn="1" w:lastColumn="0" w:noHBand="0" w:noVBand="1"/>
      </w:tblPr>
      <w:tblGrid>
        <w:gridCol w:w="1430"/>
        <w:gridCol w:w="4568"/>
        <w:gridCol w:w="1172"/>
        <w:gridCol w:w="1635"/>
      </w:tblGrid>
      <w:tr w:rsidR="00D874B1" w:rsidRPr="0050035B" w:rsidTr="00E31297">
        <w:tc>
          <w:tcPr>
            <w:tcW w:w="1430" w:type="dxa"/>
            <w:vAlign w:val="center"/>
          </w:tcPr>
          <w:p w:rsidR="00D874B1" w:rsidRPr="0050035B" w:rsidRDefault="00D874B1" w:rsidP="00A50BD5">
            <w:pPr>
              <w:jc w:val="center"/>
              <w:rPr>
                <w:rFonts w:ascii="Century Gothic" w:hAnsi="Century Gothic"/>
                <w:b/>
                <w:sz w:val="18"/>
                <w:szCs w:val="18"/>
              </w:rPr>
            </w:pPr>
            <w:r w:rsidRPr="0050035B">
              <w:rPr>
                <w:rFonts w:ascii="Century Gothic" w:hAnsi="Century Gothic"/>
                <w:b/>
                <w:sz w:val="18"/>
                <w:szCs w:val="18"/>
              </w:rPr>
              <w:t>Ámbito de Competencia</w:t>
            </w:r>
          </w:p>
        </w:tc>
        <w:tc>
          <w:tcPr>
            <w:tcW w:w="4568" w:type="dxa"/>
            <w:vAlign w:val="center"/>
          </w:tcPr>
          <w:p w:rsidR="00D874B1" w:rsidRPr="0050035B" w:rsidRDefault="00D874B1" w:rsidP="00A50BD5">
            <w:pPr>
              <w:jc w:val="center"/>
              <w:rPr>
                <w:rFonts w:ascii="Century Gothic" w:hAnsi="Century Gothic"/>
                <w:b/>
                <w:sz w:val="18"/>
                <w:szCs w:val="18"/>
              </w:rPr>
            </w:pPr>
            <w:r w:rsidRPr="0050035B">
              <w:rPr>
                <w:rFonts w:ascii="Century Gothic" w:hAnsi="Century Gothic"/>
                <w:b/>
                <w:sz w:val="18"/>
                <w:szCs w:val="18"/>
              </w:rPr>
              <w:t>Legislación</w:t>
            </w:r>
          </w:p>
        </w:tc>
        <w:tc>
          <w:tcPr>
            <w:tcW w:w="1172" w:type="dxa"/>
            <w:vAlign w:val="center"/>
          </w:tcPr>
          <w:p w:rsidR="00D874B1" w:rsidRPr="0050035B" w:rsidRDefault="0053016C" w:rsidP="00D874B1">
            <w:pPr>
              <w:jc w:val="center"/>
              <w:rPr>
                <w:rFonts w:ascii="Century Gothic" w:hAnsi="Century Gothic"/>
                <w:b/>
                <w:sz w:val="18"/>
                <w:szCs w:val="18"/>
              </w:rPr>
            </w:pPr>
            <w:r>
              <w:rPr>
                <w:rFonts w:ascii="Century Gothic" w:hAnsi="Century Gothic"/>
                <w:b/>
                <w:sz w:val="18"/>
                <w:szCs w:val="18"/>
              </w:rPr>
              <w:t>Ultima Reforma</w:t>
            </w:r>
          </w:p>
        </w:tc>
        <w:tc>
          <w:tcPr>
            <w:tcW w:w="1635" w:type="dxa"/>
            <w:vAlign w:val="center"/>
          </w:tcPr>
          <w:p w:rsidR="00D874B1" w:rsidRPr="0050035B" w:rsidRDefault="00D874B1" w:rsidP="00A50BD5">
            <w:pPr>
              <w:jc w:val="center"/>
              <w:rPr>
                <w:rFonts w:ascii="Century Gothic" w:hAnsi="Century Gothic"/>
                <w:b/>
                <w:sz w:val="18"/>
                <w:szCs w:val="18"/>
              </w:rPr>
            </w:pPr>
            <w:r w:rsidRPr="0050035B">
              <w:rPr>
                <w:rFonts w:ascii="Century Gothic" w:hAnsi="Century Gothic"/>
                <w:b/>
                <w:sz w:val="18"/>
                <w:szCs w:val="18"/>
              </w:rPr>
              <w:t>Artículos</w:t>
            </w:r>
          </w:p>
        </w:tc>
      </w:tr>
      <w:tr w:rsidR="000D167E" w:rsidRPr="0050035B" w:rsidTr="00E31297">
        <w:trPr>
          <w:trHeight w:val="333"/>
        </w:trPr>
        <w:tc>
          <w:tcPr>
            <w:tcW w:w="1430" w:type="dxa"/>
            <w:vMerge w:val="restart"/>
            <w:vAlign w:val="center"/>
          </w:tcPr>
          <w:p w:rsidR="000D167E" w:rsidRPr="0050035B" w:rsidRDefault="000D167E" w:rsidP="00A50BD5">
            <w:pPr>
              <w:jc w:val="center"/>
              <w:rPr>
                <w:rFonts w:ascii="Century Gothic" w:hAnsi="Century Gothic"/>
                <w:b/>
                <w:sz w:val="18"/>
                <w:szCs w:val="18"/>
              </w:rPr>
            </w:pPr>
            <w:r w:rsidRPr="0050035B">
              <w:rPr>
                <w:rFonts w:ascii="Century Gothic" w:hAnsi="Century Gothic"/>
                <w:b/>
                <w:sz w:val="18"/>
                <w:szCs w:val="18"/>
              </w:rPr>
              <w:t>Federal</w:t>
            </w:r>
          </w:p>
          <w:p w:rsidR="000D167E" w:rsidRPr="0050035B" w:rsidRDefault="000D167E" w:rsidP="00A50BD5">
            <w:pPr>
              <w:jc w:val="center"/>
              <w:rPr>
                <w:rFonts w:ascii="Century Gothic" w:hAnsi="Century Gothic"/>
                <w:b/>
                <w:sz w:val="18"/>
                <w:szCs w:val="18"/>
                <w:highlight w:val="yellow"/>
              </w:rPr>
            </w:pPr>
          </w:p>
        </w:tc>
        <w:tc>
          <w:tcPr>
            <w:tcW w:w="4568" w:type="dxa"/>
            <w:vMerge w:val="restart"/>
            <w:vAlign w:val="center"/>
          </w:tcPr>
          <w:p w:rsidR="000D167E" w:rsidRPr="0050035B" w:rsidRDefault="000D167E" w:rsidP="00D874B1">
            <w:pPr>
              <w:jc w:val="center"/>
              <w:rPr>
                <w:rFonts w:ascii="Century Gothic" w:hAnsi="Century Gothic"/>
                <w:sz w:val="18"/>
                <w:szCs w:val="18"/>
              </w:rPr>
            </w:pPr>
            <w:r w:rsidRPr="0050035B">
              <w:rPr>
                <w:rFonts w:ascii="Century Gothic" w:hAnsi="Century Gothic"/>
                <w:sz w:val="18"/>
                <w:szCs w:val="18"/>
              </w:rPr>
              <w:t>Constitución Política de los Estados Unidos Mexicanos</w:t>
            </w:r>
          </w:p>
        </w:tc>
        <w:tc>
          <w:tcPr>
            <w:tcW w:w="1172" w:type="dxa"/>
            <w:vMerge w:val="restart"/>
            <w:vAlign w:val="center"/>
          </w:tcPr>
          <w:p w:rsidR="000D167E" w:rsidRPr="0050035B" w:rsidRDefault="000D167E" w:rsidP="009F6DA9">
            <w:pPr>
              <w:jc w:val="center"/>
              <w:rPr>
                <w:rFonts w:ascii="Century Gothic" w:hAnsi="Century Gothic"/>
                <w:sz w:val="18"/>
                <w:szCs w:val="18"/>
              </w:rPr>
            </w:pPr>
            <w:r w:rsidRPr="0050035B">
              <w:rPr>
                <w:rFonts w:ascii="Century Gothic" w:hAnsi="Century Gothic"/>
                <w:sz w:val="18"/>
                <w:szCs w:val="18"/>
              </w:rPr>
              <w:t>28/05/2021</w:t>
            </w:r>
          </w:p>
        </w:tc>
        <w:tc>
          <w:tcPr>
            <w:tcW w:w="1635" w:type="dxa"/>
            <w:vAlign w:val="center"/>
          </w:tcPr>
          <w:p w:rsidR="000D167E" w:rsidRPr="0050035B" w:rsidRDefault="000D167E" w:rsidP="00A50BD5">
            <w:pPr>
              <w:jc w:val="center"/>
              <w:rPr>
                <w:rFonts w:ascii="Century Gothic" w:hAnsi="Century Gothic"/>
                <w:sz w:val="18"/>
                <w:szCs w:val="18"/>
              </w:rPr>
            </w:pPr>
            <w:r w:rsidRPr="0050035B">
              <w:rPr>
                <w:rFonts w:ascii="Century Gothic" w:hAnsi="Century Gothic"/>
                <w:sz w:val="18"/>
                <w:szCs w:val="18"/>
              </w:rPr>
              <w:t>115 fracción IV</w:t>
            </w:r>
          </w:p>
        </w:tc>
      </w:tr>
      <w:tr w:rsidR="000D167E" w:rsidRPr="0050035B" w:rsidTr="0072587F">
        <w:trPr>
          <w:trHeight w:val="40"/>
        </w:trPr>
        <w:tc>
          <w:tcPr>
            <w:tcW w:w="1430" w:type="dxa"/>
            <w:vMerge/>
            <w:vAlign w:val="center"/>
          </w:tcPr>
          <w:p w:rsidR="000D167E" w:rsidRPr="0050035B" w:rsidRDefault="000D167E" w:rsidP="00A50BD5">
            <w:pPr>
              <w:jc w:val="center"/>
              <w:rPr>
                <w:rFonts w:ascii="Century Gothic" w:hAnsi="Century Gothic"/>
                <w:b/>
                <w:sz w:val="18"/>
                <w:szCs w:val="18"/>
                <w:highlight w:val="yellow"/>
              </w:rPr>
            </w:pPr>
          </w:p>
        </w:tc>
        <w:tc>
          <w:tcPr>
            <w:tcW w:w="4568" w:type="dxa"/>
            <w:vMerge/>
            <w:tcBorders>
              <w:bottom w:val="single" w:sz="4" w:space="0" w:color="auto"/>
            </w:tcBorders>
            <w:vAlign w:val="center"/>
          </w:tcPr>
          <w:p w:rsidR="000D167E" w:rsidRPr="0050035B" w:rsidRDefault="000D167E" w:rsidP="00A50BD5">
            <w:pPr>
              <w:jc w:val="center"/>
              <w:rPr>
                <w:rFonts w:ascii="Century Gothic" w:hAnsi="Century Gothic"/>
                <w:sz w:val="18"/>
                <w:szCs w:val="18"/>
              </w:rPr>
            </w:pPr>
          </w:p>
        </w:tc>
        <w:tc>
          <w:tcPr>
            <w:tcW w:w="1172" w:type="dxa"/>
            <w:vMerge/>
            <w:tcBorders>
              <w:bottom w:val="single" w:sz="4" w:space="0" w:color="auto"/>
            </w:tcBorders>
          </w:tcPr>
          <w:p w:rsidR="000D167E" w:rsidRPr="0050035B" w:rsidRDefault="000D167E" w:rsidP="00A50BD5">
            <w:pPr>
              <w:jc w:val="center"/>
              <w:rPr>
                <w:rFonts w:ascii="Century Gothic" w:hAnsi="Century Gothic"/>
                <w:sz w:val="18"/>
                <w:szCs w:val="18"/>
              </w:rPr>
            </w:pPr>
          </w:p>
        </w:tc>
        <w:tc>
          <w:tcPr>
            <w:tcW w:w="1635" w:type="dxa"/>
            <w:tcBorders>
              <w:bottom w:val="single" w:sz="4" w:space="0" w:color="auto"/>
            </w:tcBorders>
            <w:vAlign w:val="center"/>
          </w:tcPr>
          <w:p w:rsidR="000D167E" w:rsidRPr="0050035B" w:rsidRDefault="000D167E" w:rsidP="00A50BD5">
            <w:pPr>
              <w:jc w:val="center"/>
              <w:rPr>
                <w:rFonts w:ascii="Century Gothic" w:hAnsi="Century Gothic"/>
                <w:sz w:val="18"/>
                <w:szCs w:val="18"/>
              </w:rPr>
            </w:pPr>
            <w:r w:rsidRPr="0050035B">
              <w:rPr>
                <w:rFonts w:ascii="Century Gothic" w:hAnsi="Century Gothic"/>
                <w:sz w:val="18"/>
                <w:szCs w:val="18"/>
              </w:rPr>
              <w:t>134</w:t>
            </w:r>
          </w:p>
        </w:tc>
      </w:tr>
      <w:tr w:rsidR="000D167E" w:rsidRPr="0050035B" w:rsidTr="00E31297">
        <w:trPr>
          <w:trHeight w:val="176"/>
        </w:trPr>
        <w:tc>
          <w:tcPr>
            <w:tcW w:w="1430" w:type="dxa"/>
            <w:vMerge/>
            <w:vAlign w:val="center"/>
          </w:tcPr>
          <w:p w:rsidR="000D167E" w:rsidRPr="0050035B" w:rsidRDefault="000D167E" w:rsidP="00C117A4">
            <w:pPr>
              <w:jc w:val="center"/>
              <w:rPr>
                <w:rFonts w:ascii="Century Gothic" w:hAnsi="Century Gothic"/>
                <w:b/>
                <w:sz w:val="18"/>
                <w:szCs w:val="18"/>
                <w:highlight w:val="yellow"/>
              </w:rPr>
            </w:pPr>
          </w:p>
        </w:tc>
        <w:tc>
          <w:tcPr>
            <w:tcW w:w="4568" w:type="dxa"/>
            <w:vMerge w:val="restart"/>
            <w:vAlign w:val="center"/>
          </w:tcPr>
          <w:p w:rsidR="000D167E" w:rsidRPr="0050035B" w:rsidRDefault="000D167E" w:rsidP="004A1FDB">
            <w:pPr>
              <w:jc w:val="center"/>
              <w:rPr>
                <w:rFonts w:ascii="Century Gothic" w:hAnsi="Century Gothic"/>
                <w:sz w:val="18"/>
                <w:szCs w:val="18"/>
              </w:rPr>
            </w:pPr>
            <w:r w:rsidRPr="0050035B">
              <w:rPr>
                <w:rFonts w:ascii="Century Gothic" w:hAnsi="Century Gothic" w:cs="Arial"/>
                <w:bCs/>
                <w:sz w:val="18"/>
                <w:szCs w:val="18"/>
              </w:rPr>
              <w:t>Ley de Coordinación Fiscal</w:t>
            </w:r>
          </w:p>
          <w:p w:rsidR="000D167E" w:rsidRPr="0050035B" w:rsidRDefault="000D167E" w:rsidP="004A1FDB">
            <w:pPr>
              <w:jc w:val="center"/>
              <w:rPr>
                <w:rFonts w:ascii="Century Gothic" w:hAnsi="Century Gothic"/>
                <w:sz w:val="18"/>
                <w:szCs w:val="18"/>
              </w:rPr>
            </w:pPr>
          </w:p>
        </w:tc>
        <w:tc>
          <w:tcPr>
            <w:tcW w:w="1172" w:type="dxa"/>
            <w:vMerge w:val="restart"/>
            <w:vAlign w:val="center"/>
          </w:tcPr>
          <w:p w:rsidR="000D167E" w:rsidRPr="0050035B" w:rsidRDefault="000D167E" w:rsidP="004A1FDB">
            <w:pPr>
              <w:jc w:val="center"/>
              <w:rPr>
                <w:rFonts w:ascii="Century Gothic" w:hAnsi="Century Gothic"/>
                <w:sz w:val="18"/>
                <w:szCs w:val="18"/>
              </w:rPr>
            </w:pPr>
          </w:p>
          <w:p w:rsidR="000D167E" w:rsidRPr="0050035B" w:rsidRDefault="000D167E" w:rsidP="001D19F2">
            <w:pPr>
              <w:rPr>
                <w:rFonts w:ascii="Century Gothic" w:hAnsi="Century Gothic"/>
                <w:sz w:val="18"/>
                <w:szCs w:val="18"/>
              </w:rPr>
            </w:pPr>
            <w:r w:rsidRPr="0050035B">
              <w:rPr>
                <w:rFonts w:ascii="Century Gothic" w:hAnsi="Century Gothic"/>
                <w:sz w:val="18"/>
                <w:szCs w:val="18"/>
              </w:rPr>
              <w:t>30/01/2018</w:t>
            </w:r>
          </w:p>
        </w:tc>
        <w:tc>
          <w:tcPr>
            <w:tcW w:w="1635" w:type="dxa"/>
            <w:vAlign w:val="center"/>
          </w:tcPr>
          <w:p w:rsidR="000D167E" w:rsidRPr="0050035B" w:rsidRDefault="000D167E" w:rsidP="00C117A4">
            <w:pPr>
              <w:jc w:val="center"/>
              <w:rPr>
                <w:rFonts w:ascii="Century Gothic" w:hAnsi="Century Gothic"/>
                <w:sz w:val="18"/>
                <w:szCs w:val="18"/>
              </w:rPr>
            </w:pPr>
            <w:r w:rsidRPr="0050035B">
              <w:rPr>
                <w:rFonts w:ascii="Century Gothic" w:hAnsi="Century Gothic"/>
                <w:sz w:val="18"/>
                <w:szCs w:val="18"/>
              </w:rPr>
              <w:t>2</w:t>
            </w:r>
          </w:p>
        </w:tc>
      </w:tr>
      <w:tr w:rsidR="000D167E" w:rsidRPr="0050035B" w:rsidTr="00E31297">
        <w:trPr>
          <w:trHeight w:val="176"/>
        </w:trPr>
        <w:tc>
          <w:tcPr>
            <w:tcW w:w="1430" w:type="dxa"/>
            <w:vMerge/>
            <w:vAlign w:val="center"/>
          </w:tcPr>
          <w:p w:rsidR="000D167E" w:rsidRPr="0050035B" w:rsidRDefault="000D167E" w:rsidP="00C117A4">
            <w:pPr>
              <w:jc w:val="center"/>
              <w:rPr>
                <w:rFonts w:ascii="Century Gothic" w:hAnsi="Century Gothic"/>
                <w:b/>
                <w:sz w:val="18"/>
                <w:szCs w:val="18"/>
              </w:rPr>
            </w:pPr>
          </w:p>
        </w:tc>
        <w:tc>
          <w:tcPr>
            <w:tcW w:w="4568" w:type="dxa"/>
            <w:vMerge/>
            <w:vAlign w:val="center"/>
          </w:tcPr>
          <w:p w:rsidR="000D167E" w:rsidRPr="0050035B" w:rsidRDefault="000D167E" w:rsidP="00C117A4">
            <w:pPr>
              <w:jc w:val="center"/>
              <w:rPr>
                <w:rFonts w:ascii="Century Gothic" w:hAnsi="Century Gothic"/>
                <w:sz w:val="18"/>
                <w:szCs w:val="18"/>
              </w:rPr>
            </w:pPr>
          </w:p>
        </w:tc>
        <w:tc>
          <w:tcPr>
            <w:tcW w:w="1172" w:type="dxa"/>
            <w:vMerge/>
          </w:tcPr>
          <w:p w:rsidR="000D167E" w:rsidRPr="0050035B" w:rsidRDefault="000D167E" w:rsidP="00C117A4">
            <w:pPr>
              <w:jc w:val="center"/>
              <w:rPr>
                <w:rFonts w:ascii="Century Gothic" w:hAnsi="Century Gothic"/>
                <w:sz w:val="18"/>
                <w:szCs w:val="18"/>
              </w:rPr>
            </w:pPr>
          </w:p>
        </w:tc>
        <w:tc>
          <w:tcPr>
            <w:tcW w:w="1635" w:type="dxa"/>
            <w:vAlign w:val="center"/>
          </w:tcPr>
          <w:p w:rsidR="000D167E" w:rsidRPr="0050035B" w:rsidRDefault="000D167E" w:rsidP="00C117A4">
            <w:pPr>
              <w:jc w:val="center"/>
              <w:rPr>
                <w:rFonts w:ascii="Century Gothic" w:hAnsi="Century Gothic"/>
                <w:sz w:val="18"/>
                <w:szCs w:val="18"/>
              </w:rPr>
            </w:pPr>
            <w:r w:rsidRPr="0050035B">
              <w:rPr>
                <w:rFonts w:ascii="Century Gothic" w:hAnsi="Century Gothic"/>
                <w:sz w:val="18"/>
                <w:szCs w:val="18"/>
              </w:rPr>
              <w:t>6</w:t>
            </w:r>
          </w:p>
        </w:tc>
      </w:tr>
      <w:tr w:rsidR="000D167E" w:rsidRPr="0050035B" w:rsidTr="00E31297">
        <w:trPr>
          <w:trHeight w:val="176"/>
        </w:trPr>
        <w:tc>
          <w:tcPr>
            <w:tcW w:w="1430" w:type="dxa"/>
            <w:vMerge/>
            <w:vAlign w:val="center"/>
          </w:tcPr>
          <w:p w:rsidR="000D167E" w:rsidRPr="0050035B" w:rsidRDefault="000D167E" w:rsidP="00C117A4">
            <w:pPr>
              <w:jc w:val="center"/>
              <w:rPr>
                <w:rFonts w:ascii="Century Gothic" w:hAnsi="Century Gothic"/>
                <w:b/>
                <w:sz w:val="18"/>
                <w:szCs w:val="18"/>
              </w:rPr>
            </w:pPr>
          </w:p>
        </w:tc>
        <w:tc>
          <w:tcPr>
            <w:tcW w:w="4568" w:type="dxa"/>
            <w:vMerge/>
            <w:vAlign w:val="center"/>
          </w:tcPr>
          <w:p w:rsidR="000D167E" w:rsidRPr="0050035B" w:rsidRDefault="000D167E" w:rsidP="00C117A4">
            <w:pPr>
              <w:jc w:val="center"/>
              <w:rPr>
                <w:rFonts w:ascii="Century Gothic" w:hAnsi="Century Gothic"/>
                <w:sz w:val="18"/>
                <w:szCs w:val="18"/>
              </w:rPr>
            </w:pPr>
          </w:p>
        </w:tc>
        <w:tc>
          <w:tcPr>
            <w:tcW w:w="1172" w:type="dxa"/>
            <w:vMerge/>
          </w:tcPr>
          <w:p w:rsidR="000D167E" w:rsidRPr="0050035B" w:rsidRDefault="000D167E" w:rsidP="00C117A4">
            <w:pPr>
              <w:jc w:val="center"/>
              <w:rPr>
                <w:rFonts w:ascii="Century Gothic" w:hAnsi="Century Gothic"/>
                <w:sz w:val="18"/>
                <w:szCs w:val="18"/>
              </w:rPr>
            </w:pPr>
          </w:p>
        </w:tc>
        <w:tc>
          <w:tcPr>
            <w:tcW w:w="1635" w:type="dxa"/>
            <w:vAlign w:val="center"/>
          </w:tcPr>
          <w:p w:rsidR="000D167E" w:rsidRPr="0050035B" w:rsidRDefault="000D167E" w:rsidP="00C117A4">
            <w:pPr>
              <w:jc w:val="center"/>
              <w:rPr>
                <w:rFonts w:ascii="Century Gothic" w:hAnsi="Century Gothic"/>
                <w:sz w:val="18"/>
                <w:szCs w:val="18"/>
              </w:rPr>
            </w:pPr>
            <w:r w:rsidRPr="0050035B">
              <w:rPr>
                <w:rFonts w:ascii="Century Gothic" w:hAnsi="Century Gothic"/>
                <w:sz w:val="18"/>
                <w:szCs w:val="18"/>
              </w:rPr>
              <w:t>9</w:t>
            </w:r>
          </w:p>
        </w:tc>
      </w:tr>
      <w:tr w:rsidR="000D167E" w:rsidRPr="0050035B" w:rsidTr="00E31297">
        <w:trPr>
          <w:trHeight w:val="176"/>
        </w:trPr>
        <w:tc>
          <w:tcPr>
            <w:tcW w:w="1430" w:type="dxa"/>
            <w:vMerge/>
            <w:vAlign w:val="center"/>
          </w:tcPr>
          <w:p w:rsidR="000D167E" w:rsidRPr="0050035B" w:rsidRDefault="000D167E" w:rsidP="00C117A4">
            <w:pPr>
              <w:jc w:val="center"/>
              <w:rPr>
                <w:rFonts w:ascii="Century Gothic" w:hAnsi="Century Gothic"/>
                <w:b/>
                <w:sz w:val="18"/>
                <w:szCs w:val="18"/>
              </w:rPr>
            </w:pPr>
          </w:p>
        </w:tc>
        <w:tc>
          <w:tcPr>
            <w:tcW w:w="4568" w:type="dxa"/>
            <w:vMerge/>
            <w:vAlign w:val="center"/>
          </w:tcPr>
          <w:p w:rsidR="000D167E" w:rsidRPr="0050035B" w:rsidRDefault="000D167E" w:rsidP="00C117A4">
            <w:pPr>
              <w:jc w:val="center"/>
              <w:rPr>
                <w:rFonts w:ascii="Century Gothic" w:hAnsi="Century Gothic" w:cs="Arial"/>
                <w:bCs/>
                <w:sz w:val="18"/>
                <w:szCs w:val="18"/>
              </w:rPr>
            </w:pPr>
          </w:p>
        </w:tc>
        <w:tc>
          <w:tcPr>
            <w:tcW w:w="1172" w:type="dxa"/>
            <w:vMerge/>
          </w:tcPr>
          <w:p w:rsidR="000D167E" w:rsidRPr="0050035B" w:rsidRDefault="000D167E" w:rsidP="00C117A4">
            <w:pPr>
              <w:jc w:val="center"/>
              <w:rPr>
                <w:rFonts w:ascii="Century Gothic" w:hAnsi="Century Gothic"/>
                <w:sz w:val="18"/>
                <w:szCs w:val="18"/>
              </w:rPr>
            </w:pPr>
          </w:p>
        </w:tc>
        <w:tc>
          <w:tcPr>
            <w:tcW w:w="1635" w:type="dxa"/>
            <w:vAlign w:val="center"/>
          </w:tcPr>
          <w:p w:rsidR="000D167E" w:rsidRPr="0050035B" w:rsidRDefault="000D167E" w:rsidP="00C117A4">
            <w:pPr>
              <w:jc w:val="center"/>
              <w:rPr>
                <w:rFonts w:ascii="Century Gothic" w:hAnsi="Century Gothic"/>
                <w:sz w:val="18"/>
                <w:szCs w:val="18"/>
              </w:rPr>
            </w:pPr>
            <w:r w:rsidRPr="0050035B">
              <w:rPr>
                <w:rFonts w:ascii="Century Gothic" w:hAnsi="Century Gothic"/>
                <w:sz w:val="18"/>
                <w:szCs w:val="18"/>
              </w:rPr>
              <w:t>25</w:t>
            </w:r>
          </w:p>
        </w:tc>
      </w:tr>
      <w:tr w:rsidR="000D167E" w:rsidRPr="0050035B" w:rsidTr="00E31297">
        <w:trPr>
          <w:trHeight w:val="176"/>
        </w:trPr>
        <w:tc>
          <w:tcPr>
            <w:tcW w:w="1430" w:type="dxa"/>
            <w:vMerge/>
            <w:vAlign w:val="center"/>
          </w:tcPr>
          <w:p w:rsidR="000D167E" w:rsidRPr="0050035B" w:rsidRDefault="000D167E" w:rsidP="00C117A4">
            <w:pPr>
              <w:jc w:val="center"/>
              <w:rPr>
                <w:rFonts w:ascii="Century Gothic" w:hAnsi="Century Gothic"/>
                <w:b/>
                <w:sz w:val="18"/>
                <w:szCs w:val="18"/>
              </w:rPr>
            </w:pPr>
          </w:p>
        </w:tc>
        <w:tc>
          <w:tcPr>
            <w:tcW w:w="4568" w:type="dxa"/>
            <w:vMerge/>
            <w:vAlign w:val="center"/>
          </w:tcPr>
          <w:p w:rsidR="000D167E" w:rsidRPr="0050035B" w:rsidRDefault="000D167E" w:rsidP="00C117A4">
            <w:pPr>
              <w:jc w:val="center"/>
              <w:rPr>
                <w:rFonts w:ascii="Century Gothic" w:hAnsi="Century Gothic" w:cs="Arial"/>
                <w:bCs/>
                <w:sz w:val="18"/>
                <w:szCs w:val="18"/>
              </w:rPr>
            </w:pPr>
          </w:p>
        </w:tc>
        <w:tc>
          <w:tcPr>
            <w:tcW w:w="1172" w:type="dxa"/>
            <w:vMerge/>
          </w:tcPr>
          <w:p w:rsidR="000D167E" w:rsidRPr="0050035B" w:rsidRDefault="000D167E" w:rsidP="00C117A4">
            <w:pPr>
              <w:jc w:val="center"/>
              <w:rPr>
                <w:rFonts w:ascii="Century Gothic" w:hAnsi="Century Gothic"/>
                <w:sz w:val="18"/>
                <w:szCs w:val="18"/>
              </w:rPr>
            </w:pPr>
          </w:p>
        </w:tc>
        <w:tc>
          <w:tcPr>
            <w:tcW w:w="1635" w:type="dxa"/>
            <w:vAlign w:val="center"/>
          </w:tcPr>
          <w:p w:rsidR="000D167E" w:rsidRPr="0050035B" w:rsidRDefault="000D167E" w:rsidP="00C117A4">
            <w:pPr>
              <w:jc w:val="center"/>
              <w:rPr>
                <w:rFonts w:ascii="Century Gothic" w:hAnsi="Century Gothic"/>
                <w:sz w:val="18"/>
                <w:szCs w:val="18"/>
              </w:rPr>
            </w:pPr>
            <w:r w:rsidRPr="0050035B">
              <w:rPr>
                <w:rFonts w:ascii="Century Gothic" w:hAnsi="Century Gothic"/>
                <w:sz w:val="18"/>
                <w:szCs w:val="18"/>
              </w:rPr>
              <w:t>49</w:t>
            </w:r>
          </w:p>
        </w:tc>
      </w:tr>
      <w:tr w:rsidR="000D167E" w:rsidRPr="0050035B" w:rsidTr="00E31297">
        <w:trPr>
          <w:trHeight w:val="176"/>
        </w:trPr>
        <w:tc>
          <w:tcPr>
            <w:tcW w:w="1430" w:type="dxa"/>
            <w:vMerge/>
            <w:vAlign w:val="center"/>
          </w:tcPr>
          <w:p w:rsidR="000D167E" w:rsidRPr="0050035B" w:rsidRDefault="000D167E" w:rsidP="00C117A4">
            <w:pPr>
              <w:jc w:val="center"/>
              <w:rPr>
                <w:rFonts w:ascii="Century Gothic" w:hAnsi="Century Gothic"/>
                <w:b/>
                <w:sz w:val="18"/>
                <w:szCs w:val="18"/>
              </w:rPr>
            </w:pPr>
          </w:p>
        </w:tc>
        <w:tc>
          <w:tcPr>
            <w:tcW w:w="4568" w:type="dxa"/>
            <w:vMerge/>
            <w:vAlign w:val="center"/>
          </w:tcPr>
          <w:p w:rsidR="000D167E" w:rsidRPr="0050035B" w:rsidRDefault="000D167E" w:rsidP="00C117A4">
            <w:pPr>
              <w:jc w:val="center"/>
              <w:rPr>
                <w:rFonts w:ascii="Century Gothic" w:hAnsi="Century Gothic" w:cs="Arial"/>
                <w:bCs/>
                <w:sz w:val="18"/>
                <w:szCs w:val="18"/>
              </w:rPr>
            </w:pPr>
          </w:p>
        </w:tc>
        <w:tc>
          <w:tcPr>
            <w:tcW w:w="1172" w:type="dxa"/>
            <w:vMerge/>
          </w:tcPr>
          <w:p w:rsidR="000D167E" w:rsidRPr="0050035B" w:rsidRDefault="000D167E" w:rsidP="00C117A4">
            <w:pPr>
              <w:jc w:val="center"/>
              <w:rPr>
                <w:rFonts w:ascii="Century Gothic" w:hAnsi="Century Gothic"/>
                <w:sz w:val="18"/>
                <w:szCs w:val="18"/>
              </w:rPr>
            </w:pPr>
          </w:p>
        </w:tc>
        <w:tc>
          <w:tcPr>
            <w:tcW w:w="1635" w:type="dxa"/>
            <w:vAlign w:val="center"/>
          </w:tcPr>
          <w:p w:rsidR="000D167E" w:rsidRPr="0050035B" w:rsidRDefault="000D167E" w:rsidP="00C117A4">
            <w:pPr>
              <w:jc w:val="center"/>
              <w:rPr>
                <w:rFonts w:ascii="Century Gothic" w:hAnsi="Century Gothic"/>
                <w:sz w:val="18"/>
                <w:szCs w:val="18"/>
              </w:rPr>
            </w:pPr>
            <w:r w:rsidRPr="0050035B">
              <w:rPr>
                <w:rFonts w:ascii="Century Gothic" w:hAnsi="Century Gothic"/>
                <w:sz w:val="18"/>
                <w:szCs w:val="18"/>
              </w:rPr>
              <w:t>50</w:t>
            </w:r>
          </w:p>
        </w:tc>
      </w:tr>
      <w:tr w:rsidR="000D167E" w:rsidRPr="0050035B" w:rsidTr="00E31297">
        <w:trPr>
          <w:trHeight w:val="176"/>
        </w:trPr>
        <w:tc>
          <w:tcPr>
            <w:tcW w:w="1430" w:type="dxa"/>
            <w:vMerge/>
            <w:vAlign w:val="center"/>
          </w:tcPr>
          <w:p w:rsidR="000D167E" w:rsidRPr="0050035B" w:rsidRDefault="000D167E" w:rsidP="00C117A4">
            <w:pPr>
              <w:jc w:val="center"/>
              <w:rPr>
                <w:rFonts w:ascii="Century Gothic" w:hAnsi="Century Gothic"/>
                <w:b/>
                <w:sz w:val="18"/>
                <w:szCs w:val="18"/>
              </w:rPr>
            </w:pPr>
          </w:p>
        </w:tc>
        <w:tc>
          <w:tcPr>
            <w:tcW w:w="4568" w:type="dxa"/>
            <w:vMerge w:val="restart"/>
            <w:vAlign w:val="center"/>
          </w:tcPr>
          <w:p w:rsidR="000D167E" w:rsidRPr="0050035B" w:rsidRDefault="000D167E" w:rsidP="009223C3">
            <w:pPr>
              <w:jc w:val="center"/>
              <w:rPr>
                <w:rFonts w:ascii="Century Gothic" w:hAnsi="Century Gothic" w:cs="Arial"/>
                <w:bCs/>
                <w:sz w:val="18"/>
                <w:szCs w:val="18"/>
              </w:rPr>
            </w:pPr>
            <w:r w:rsidRPr="0050035B">
              <w:rPr>
                <w:rFonts w:ascii="Century Gothic" w:hAnsi="Century Gothic" w:cs="Arial"/>
                <w:bCs/>
                <w:sz w:val="18"/>
                <w:szCs w:val="18"/>
              </w:rPr>
              <w:t>Ley de Disciplina Financiera de las Entidade</w:t>
            </w:r>
            <w:r w:rsidR="009223C3">
              <w:rPr>
                <w:rFonts w:ascii="Century Gothic" w:hAnsi="Century Gothic" w:cs="Arial"/>
                <w:bCs/>
                <w:sz w:val="18"/>
                <w:szCs w:val="18"/>
              </w:rPr>
              <w:t xml:space="preserve">s Federativas y los Municipios </w:t>
            </w:r>
          </w:p>
        </w:tc>
        <w:tc>
          <w:tcPr>
            <w:tcW w:w="1172" w:type="dxa"/>
            <w:vMerge w:val="restart"/>
            <w:vAlign w:val="center"/>
          </w:tcPr>
          <w:p w:rsidR="000D167E" w:rsidRPr="0050035B" w:rsidRDefault="000D167E" w:rsidP="00C117A4">
            <w:pPr>
              <w:jc w:val="center"/>
              <w:rPr>
                <w:rFonts w:ascii="Century Gothic" w:hAnsi="Century Gothic"/>
                <w:sz w:val="18"/>
                <w:szCs w:val="18"/>
              </w:rPr>
            </w:pPr>
            <w:r w:rsidRPr="0050035B">
              <w:rPr>
                <w:rFonts w:ascii="Century Gothic" w:hAnsi="Century Gothic"/>
                <w:sz w:val="18"/>
                <w:szCs w:val="18"/>
              </w:rPr>
              <w:t>30/01/2018</w:t>
            </w:r>
          </w:p>
        </w:tc>
        <w:tc>
          <w:tcPr>
            <w:tcW w:w="1635" w:type="dxa"/>
            <w:vAlign w:val="center"/>
          </w:tcPr>
          <w:p w:rsidR="000D167E" w:rsidRPr="0050035B" w:rsidRDefault="000D167E" w:rsidP="00C117A4">
            <w:pPr>
              <w:jc w:val="center"/>
              <w:rPr>
                <w:rFonts w:ascii="Century Gothic" w:hAnsi="Century Gothic"/>
                <w:sz w:val="18"/>
                <w:szCs w:val="18"/>
              </w:rPr>
            </w:pPr>
            <w:r w:rsidRPr="0050035B">
              <w:rPr>
                <w:rFonts w:ascii="Century Gothic" w:hAnsi="Century Gothic"/>
                <w:sz w:val="18"/>
                <w:szCs w:val="18"/>
              </w:rPr>
              <w:t>8</w:t>
            </w:r>
          </w:p>
        </w:tc>
      </w:tr>
      <w:tr w:rsidR="000D167E" w:rsidRPr="0050035B" w:rsidTr="00E31297">
        <w:trPr>
          <w:trHeight w:val="176"/>
        </w:trPr>
        <w:tc>
          <w:tcPr>
            <w:tcW w:w="1430" w:type="dxa"/>
            <w:vMerge/>
            <w:vAlign w:val="center"/>
          </w:tcPr>
          <w:p w:rsidR="000D167E" w:rsidRPr="0050035B" w:rsidRDefault="000D167E" w:rsidP="00C117A4">
            <w:pPr>
              <w:jc w:val="center"/>
              <w:rPr>
                <w:rFonts w:ascii="Century Gothic" w:hAnsi="Century Gothic"/>
                <w:b/>
                <w:sz w:val="18"/>
                <w:szCs w:val="18"/>
              </w:rPr>
            </w:pPr>
          </w:p>
        </w:tc>
        <w:tc>
          <w:tcPr>
            <w:tcW w:w="4568" w:type="dxa"/>
            <w:vMerge/>
            <w:vAlign w:val="center"/>
          </w:tcPr>
          <w:p w:rsidR="000D167E" w:rsidRPr="0050035B" w:rsidRDefault="000D167E" w:rsidP="00C117A4">
            <w:pPr>
              <w:jc w:val="center"/>
              <w:rPr>
                <w:rFonts w:ascii="Century Gothic" w:hAnsi="Century Gothic" w:cs="Arial"/>
                <w:bCs/>
                <w:sz w:val="18"/>
                <w:szCs w:val="18"/>
              </w:rPr>
            </w:pPr>
          </w:p>
        </w:tc>
        <w:tc>
          <w:tcPr>
            <w:tcW w:w="1172" w:type="dxa"/>
            <w:vMerge/>
          </w:tcPr>
          <w:p w:rsidR="000D167E" w:rsidRPr="0050035B" w:rsidRDefault="000D167E" w:rsidP="00C117A4">
            <w:pPr>
              <w:jc w:val="center"/>
              <w:rPr>
                <w:rFonts w:ascii="Century Gothic" w:hAnsi="Century Gothic"/>
                <w:sz w:val="18"/>
                <w:szCs w:val="18"/>
              </w:rPr>
            </w:pPr>
          </w:p>
        </w:tc>
        <w:tc>
          <w:tcPr>
            <w:tcW w:w="1635" w:type="dxa"/>
            <w:vAlign w:val="center"/>
          </w:tcPr>
          <w:p w:rsidR="000D167E" w:rsidRPr="0050035B" w:rsidRDefault="000D167E" w:rsidP="00C117A4">
            <w:pPr>
              <w:jc w:val="center"/>
              <w:rPr>
                <w:rFonts w:ascii="Century Gothic" w:hAnsi="Century Gothic"/>
                <w:sz w:val="18"/>
                <w:szCs w:val="18"/>
              </w:rPr>
            </w:pPr>
            <w:r w:rsidRPr="0050035B">
              <w:rPr>
                <w:rFonts w:ascii="Century Gothic" w:hAnsi="Century Gothic"/>
                <w:sz w:val="18"/>
                <w:szCs w:val="18"/>
              </w:rPr>
              <w:t>14</w:t>
            </w:r>
          </w:p>
        </w:tc>
      </w:tr>
      <w:tr w:rsidR="000D167E" w:rsidRPr="0050035B" w:rsidTr="00B75140">
        <w:trPr>
          <w:trHeight w:val="142"/>
        </w:trPr>
        <w:tc>
          <w:tcPr>
            <w:tcW w:w="1430" w:type="dxa"/>
            <w:vMerge/>
            <w:vAlign w:val="center"/>
          </w:tcPr>
          <w:p w:rsidR="000D167E" w:rsidRPr="0050035B" w:rsidRDefault="000D167E" w:rsidP="00C117A4">
            <w:pPr>
              <w:jc w:val="center"/>
              <w:rPr>
                <w:rFonts w:ascii="Century Gothic" w:hAnsi="Century Gothic"/>
                <w:b/>
                <w:sz w:val="18"/>
                <w:szCs w:val="18"/>
              </w:rPr>
            </w:pPr>
          </w:p>
        </w:tc>
        <w:tc>
          <w:tcPr>
            <w:tcW w:w="4568" w:type="dxa"/>
            <w:vMerge/>
            <w:vAlign w:val="center"/>
          </w:tcPr>
          <w:p w:rsidR="000D167E" w:rsidRPr="0050035B" w:rsidRDefault="000D167E" w:rsidP="00C117A4">
            <w:pPr>
              <w:jc w:val="center"/>
              <w:rPr>
                <w:rFonts w:ascii="Century Gothic" w:hAnsi="Century Gothic" w:cs="Arial"/>
                <w:bCs/>
                <w:sz w:val="18"/>
                <w:szCs w:val="18"/>
              </w:rPr>
            </w:pPr>
          </w:p>
        </w:tc>
        <w:tc>
          <w:tcPr>
            <w:tcW w:w="1172" w:type="dxa"/>
            <w:vMerge/>
          </w:tcPr>
          <w:p w:rsidR="000D167E" w:rsidRPr="0050035B" w:rsidRDefault="000D167E" w:rsidP="00C117A4">
            <w:pPr>
              <w:jc w:val="center"/>
              <w:rPr>
                <w:rFonts w:ascii="Century Gothic" w:hAnsi="Century Gothic" w:cs="Arial"/>
                <w:sz w:val="18"/>
                <w:szCs w:val="18"/>
              </w:rPr>
            </w:pPr>
          </w:p>
        </w:tc>
        <w:tc>
          <w:tcPr>
            <w:tcW w:w="1635" w:type="dxa"/>
            <w:vAlign w:val="center"/>
          </w:tcPr>
          <w:p w:rsidR="000D167E" w:rsidRPr="0050035B" w:rsidRDefault="000D167E" w:rsidP="00C117A4">
            <w:pPr>
              <w:jc w:val="center"/>
              <w:rPr>
                <w:rFonts w:ascii="Century Gothic" w:hAnsi="Century Gothic" w:cs="Arial"/>
                <w:sz w:val="18"/>
                <w:szCs w:val="18"/>
              </w:rPr>
            </w:pPr>
            <w:r w:rsidRPr="0050035B">
              <w:rPr>
                <w:rFonts w:ascii="Century Gothic" w:hAnsi="Century Gothic" w:cs="Arial"/>
                <w:sz w:val="18"/>
                <w:szCs w:val="18"/>
              </w:rPr>
              <w:t>15</w:t>
            </w:r>
          </w:p>
        </w:tc>
      </w:tr>
      <w:tr w:rsidR="000D167E" w:rsidRPr="0050035B" w:rsidTr="00E31297">
        <w:tc>
          <w:tcPr>
            <w:tcW w:w="1430" w:type="dxa"/>
            <w:vMerge/>
            <w:vAlign w:val="center"/>
          </w:tcPr>
          <w:p w:rsidR="000D167E" w:rsidRPr="0050035B" w:rsidRDefault="000D167E" w:rsidP="00C117A4">
            <w:pPr>
              <w:jc w:val="center"/>
              <w:rPr>
                <w:rFonts w:ascii="Century Gothic" w:hAnsi="Century Gothic"/>
                <w:b/>
                <w:sz w:val="18"/>
                <w:szCs w:val="18"/>
              </w:rPr>
            </w:pPr>
          </w:p>
        </w:tc>
        <w:tc>
          <w:tcPr>
            <w:tcW w:w="4568" w:type="dxa"/>
            <w:vMerge/>
            <w:vAlign w:val="center"/>
          </w:tcPr>
          <w:p w:rsidR="000D167E" w:rsidRPr="0050035B" w:rsidRDefault="000D167E" w:rsidP="00C117A4">
            <w:pPr>
              <w:jc w:val="center"/>
              <w:rPr>
                <w:rFonts w:ascii="Century Gothic" w:hAnsi="Century Gothic" w:cs="Arial"/>
                <w:bCs/>
                <w:sz w:val="18"/>
                <w:szCs w:val="18"/>
              </w:rPr>
            </w:pPr>
          </w:p>
        </w:tc>
        <w:tc>
          <w:tcPr>
            <w:tcW w:w="1172" w:type="dxa"/>
            <w:vMerge/>
          </w:tcPr>
          <w:p w:rsidR="000D167E" w:rsidRPr="0050035B" w:rsidRDefault="000D167E" w:rsidP="00C117A4">
            <w:pPr>
              <w:jc w:val="center"/>
              <w:rPr>
                <w:rFonts w:ascii="Century Gothic" w:hAnsi="Century Gothic" w:cs="Arial"/>
                <w:sz w:val="18"/>
                <w:szCs w:val="18"/>
              </w:rPr>
            </w:pPr>
          </w:p>
        </w:tc>
        <w:tc>
          <w:tcPr>
            <w:tcW w:w="1635" w:type="dxa"/>
            <w:vAlign w:val="center"/>
          </w:tcPr>
          <w:p w:rsidR="000D167E" w:rsidRPr="0050035B" w:rsidRDefault="000D167E" w:rsidP="00C117A4">
            <w:pPr>
              <w:jc w:val="center"/>
              <w:rPr>
                <w:rFonts w:ascii="Century Gothic" w:hAnsi="Century Gothic" w:cs="Arial"/>
                <w:sz w:val="18"/>
                <w:szCs w:val="18"/>
              </w:rPr>
            </w:pPr>
            <w:r w:rsidRPr="0050035B">
              <w:rPr>
                <w:rFonts w:ascii="Century Gothic" w:hAnsi="Century Gothic" w:cs="Arial"/>
                <w:sz w:val="18"/>
                <w:szCs w:val="18"/>
              </w:rPr>
              <w:t>18</w:t>
            </w:r>
          </w:p>
        </w:tc>
      </w:tr>
      <w:tr w:rsidR="000D167E" w:rsidRPr="0050035B" w:rsidTr="00E31297">
        <w:tc>
          <w:tcPr>
            <w:tcW w:w="1430" w:type="dxa"/>
            <w:vMerge/>
            <w:vAlign w:val="center"/>
          </w:tcPr>
          <w:p w:rsidR="000D167E" w:rsidRPr="0050035B" w:rsidRDefault="000D167E" w:rsidP="00C117A4">
            <w:pPr>
              <w:jc w:val="center"/>
              <w:rPr>
                <w:rFonts w:ascii="Century Gothic" w:hAnsi="Century Gothic"/>
                <w:b/>
                <w:sz w:val="18"/>
                <w:szCs w:val="18"/>
              </w:rPr>
            </w:pPr>
          </w:p>
        </w:tc>
        <w:tc>
          <w:tcPr>
            <w:tcW w:w="4568" w:type="dxa"/>
            <w:vMerge/>
            <w:vAlign w:val="center"/>
          </w:tcPr>
          <w:p w:rsidR="000D167E" w:rsidRPr="0050035B" w:rsidRDefault="000D167E" w:rsidP="00C117A4">
            <w:pPr>
              <w:jc w:val="center"/>
              <w:rPr>
                <w:rFonts w:ascii="Century Gothic" w:hAnsi="Century Gothic" w:cs="Arial"/>
                <w:bCs/>
                <w:sz w:val="18"/>
                <w:szCs w:val="18"/>
              </w:rPr>
            </w:pPr>
          </w:p>
        </w:tc>
        <w:tc>
          <w:tcPr>
            <w:tcW w:w="1172" w:type="dxa"/>
            <w:vMerge/>
          </w:tcPr>
          <w:p w:rsidR="000D167E" w:rsidRPr="0050035B" w:rsidRDefault="000D167E" w:rsidP="00C117A4">
            <w:pPr>
              <w:jc w:val="center"/>
              <w:rPr>
                <w:rFonts w:ascii="Century Gothic" w:hAnsi="Century Gothic" w:cs="Arial"/>
                <w:sz w:val="18"/>
                <w:szCs w:val="18"/>
              </w:rPr>
            </w:pPr>
          </w:p>
        </w:tc>
        <w:tc>
          <w:tcPr>
            <w:tcW w:w="1635" w:type="dxa"/>
            <w:vAlign w:val="center"/>
          </w:tcPr>
          <w:p w:rsidR="000D167E" w:rsidRPr="0050035B" w:rsidRDefault="000D167E" w:rsidP="00C117A4">
            <w:pPr>
              <w:jc w:val="center"/>
              <w:rPr>
                <w:rFonts w:ascii="Century Gothic" w:hAnsi="Century Gothic" w:cs="Arial"/>
                <w:sz w:val="18"/>
                <w:szCs w:val="18"/>
              </w:rPr>
            </w:pPr>
            <w:r w:rsidRPr="0050035B">
              <w:rPr>
                <w:rFonts w:ascii="Century Gothic" w:hAnsi="Century Gothic" w:cs="Arial"/>
                <w:sz w:val="18"/>
                <w:szCs w:val="18"/>
              </w:rPr>
              <w:t>19</w:t>
            </w:r>
          </w:p>
        </w:tc>
      </w:tr>
      <w:tr w:rsidR="000D167E" w:rsidRPr="0050035B" w:rsidTr="00990ADC">
        <w:trPr>
          <w:trHeight w:val="331"/>
        </w:trPr>
        <w:tc>
          <w:tcPr>
            <w:tcW w:w="1430" w:type="dxa"/>
            <w:vMerge/>
            <w:tcBorders>
              <w:bottom w:val="single" w:sz="4" w:space="0" w:color="auto"/>
            </w:tcBorders>
            <w:vAlign w:val="center"/>
          </w:tcPr>
          <w:p w:rsidR="000D167E" w:rsidRPr="0050035B" w:rsidRDefault="000D167E" w:rsidP="00C117A4">
            <w:pPr>
              <w:jc w:val="center"/>
              <w:rPr>
                <w:rFonts w:ascii="Century Gothic" w:hAnsi="Century Gothic"/>
                <w:b/>
                <w:sz w:val="18"/>
                <w:szCs w:val="18"/>
              </w:rPr>
            </w:pPr>
          </w:p>
        </w:tc>
        <w:tc>
          <w:tcPr>
            <w:tcW w:w="4568" w:type="dxa"/>
            <w:vMerge/>
            <w:tcBorders>
              <w:bottom w:val="single" w:sz="4" w:space="0" w:color="auto"/>
            </w:tcBorders>
            <w:vAlign w:val="center"/>
          </w:tcPr>
          <w:p w:rsidR="000D167E" w:rsidRPr="0050035B" w:rsidRDefault="000D167E" w:rsidP="00C117A4">
            <w:pPr>
              <w:jc w:val="center"/>
              <w:rPr>
                <w:rFonts w:ascii="Century Gothic" w:hAnsi="Century Gothic" w:cs="Arial"/>
                <w:bCs/>
                <w:sz w:val="18"/>
                <w:szCs w:val="18"/>
              </w:rPr>
            </w:pPr>
          </w:p>
        </w:tc>
        <w:tc>
          <w:tcPr>
            <w:tcW w:w="1172" w:type="dxa"/>
            <w:vMerge/>
            <w:tcBorders>
              <w:bottom w:val="single" w:sz="4" w:space="0" w:color="auto"/>
            </w:tcBorders>
          </w:tcPr>
          <w:p w:rsidR="000D167E" w:rsidRPr="0050035B" w:rsidRDefault="000D167E" w:rsidP="00C117A4">
            <w:pPr>
              <w:jc w:val="center"/>
              <w:rPr>
                <w:rFonts w:ascii="Century Gothic" w:hAnsi="Century Gothic" w:cs="Arial"/>
                <w:sz w:val="18"/>
                <w:szCs w:val="18"/>
              </w:rPr>
            </w:pPr>
          </w:p>
        </w:tc>
        <w:tc>
          <w:tcPr>
            <w:tcW w:w="1635" w:type="dxa"/>
            <w:tcBorders>
              <w:bottom w:val="single" w:sz="4" w:space="0" w:color="auto"/>
            </w:tcBorders>
            <w:vAlign w:val="center"/>
          </w:tcPr>
          <w:p w:rsidR="000D167E" w:rsidRPr="0050035B" w:rsidRDefault="000D167E" w:rsidP="00C117A4">
            <w:pPr>
              <w:jc w:val="center"/>
              <w:rPr>
                <w:rFonts w:ascii="Century Gothic" w:hAnsi="Century Gothic" w:cs="Arial"/>
                <w:sz w:val="18"/>
                <w:szCs w:val="18"/>
              </w:rPr>
            </w:pPr>
            <w:r w:rsidRPr="0050035B">
              <w:rPr>
                <w:rFonts w:ascii="Century Gothic" w:hAnsi="Century Gothic" w:cs="Arial"/>
                <w:sz w:val="18"/>
                <w:szCs w:val="18"/>
              </w:rPr>
              <w:t>21</w:t>
            </w:r>
          </w:p>
        </w:tc>
      </w:tr>
    </w:tbl>
    <w:p w:rsidR="00DD1E43" w:rsidRPr="0050035B" w:rsidRDefault="00DD1E43" w:rsidP="003877DB">
      <w:pPr>
        <w:spacing w:line="360" w:lineRule="auto"/>
        <w:jc w:val="both"/>
        <w:rPr>
          <w:rFonts w:ascii="Century Gothic" w:hAnsi="Century Gothic"/>
          <w:sz w:val="20"/>
          <w:szCs w:val="20"/>
          <w:lang w:val="es-MX"/>
        </w:rPr>
      </w:pPr>
    </w:p>
    <w:tbl>
      <w:tblPr>
        <w:tblStyle w:val="Tablaconcuadrcula"/>
        <w:tblW w:w="0" w:type="auto"/>
        <w:tblLook w:val="04A0" w:firstRow="1" w:lastRow="0" w:firstColumn="1" w:lastColumn="0" w:noHBand="0" w:noVBand="1"/>
      </w:tblPr>
      <w:tblGrid>
        <w:gridCol w:w="1430"/>
        <w:gridCol w:w="4568"/>
        <w:gridCol w:w="1172"/>
        <w:gridCol w:w="1635"/>
      </w:tblGrid>
      <w:tr w:rsidR="000D167E" w:rsidRPr="0050035B" w:rsidTr="00990ADC">
        <w:tc>
          <w:tcPr>
            <w:tcW w:w="1430" w:type="dxa"/>
            <w:vAlign w:val="center"/>
          </w:tcPr>
          <w:p w:rsidR="000D167E" w:rsidRPr="0050035B" w:rsidRDefault="000D167E" w:rsidP="00990ADC">
            <w:pPr>
              <w:jc w:val="center"/>
              <w:rPr>
                <w:rFonts w:ascii="Century Gothic" w:hAnsi="Century Gothic"/>
                <w:b/>
                <w:sz w:val="18"/>
                <w:szCs w:val="18"/>
              </w:rPr>
            </w:pPr>
            <w:r w:rsidRPr="0050035B">
              <w:rPr>
                <w:rFonts w:ascii="Century Gothic" w:hAnsi="Century Gothic"/>
                <w:b/>
                <w:sz w:val="18"/>
                <w:szCs w:val="18"/>
              </w:rPr>
              <w:t>Ámbito de Competencia</w:t>
            </w:r>
          </w:p>
        </w:tc>
        <w:tc>
          <w:tcPr>
            <w:tcW w:w="4568" w:type="dxa"/>
            <w:vAlign w:val="center"/>
          </w:tcPr>
          <w:p w:rsidR="000D167E" w:rsidRPr="0050035B" w:rsidRDefault="000D167E" w:rsidP="00990ADC">
            <w:pPr>
              <w:jc w:val="center"/>
              <w:rPr>
                <w:rFonts w:ascii="Century Gothic" w:hAnsi="Century Gothic"/>
                <w:b/>
                <w:sz w:val="18"/>
                <w:szCs w:val="18"/>
              </w:rPr>
            </w:pPr>
            <w:r w:rsidRPr="0050035B">
              <w:rPr>
                <w:rFonts w:ascii="Century Gothic" w:hAnsi="Century Gothic"/>
                <w:b/>
                <w:sz w:val="18"/>
                <w:szCs w:val="18"/>
              </w:rPr>
              <w:t>Legislación</w:t>
            </w:r>
          </w:p>
        </w:tc>
        <w:tc>
          <w:tcPr>
            <w:tcW w:w="1172" w:type="dxa"/>
            <w:vAlign w:val="center"/>
          </w:tcPr>
          <w:p w:rsidR="000D167E" w:rsidRPr="0050035B" w:rsidRDefault="000D167E" w:rsidP="00990ADC">
            <w:pPr>
              <w:jc w:val="center"/>
              <w:rPr>
                <w:rFonts w:ascii="Century Gothic" w:hAnsi="Century Gothic"/>
                <w:b/>
                <w:sz w:val="18"/>
                <w:szCs w:val="18"/>
              </w:rPr>
            </w:pPr>
            <w:r>
              <w:rPr>
                <w:rFonts w:ascii="Century Gothic" w:hAnsi="Century Gothic"/>
                <w:b/>
                <w:sz w:val="18"/>
                <w:szCs w:val="18"/>
              </w:rPr>
              <w:t>Ultima Reforma</w:t>
            </w:r>
          </w:p>
        </w:tc>
        <w:tc>
          <w:tcPr>
            <w:tcW w:w="1635" w:type="dxa"/>
            <w:vAlign w:val="center"/>
          </w:tcPr>
          <w:p w:rsidR="000D167E" w:rsidRPr="0050035B" w:rsidRDefault="000D167E" w:rsidP="00990ADC">
            <w:pPr>
              <w:jc w:val="center"/>
              <w:rPr>
                <w:rFonts w:ascii="Century Gothic" w:hAnsi="Century Gothic"/>
                <w:b/>
                <w:sz w:val="18"/>
                <w:szCs w:val="18"/>
              </w:rPr>
            </w:pPr>
            <w:r w:rsidRPr="0050035B">
              <w:rPr>
                <w:rFonts w:ascii="Century Gothic" w:hAnsi="Century Gothic"/>
                <w:b/>
                <w:sz w:val="18"/>
                <w:szCs w:val="18"/>
              </w:rPr>
              <w:t>Artículos</w:t>
            </w:r>
          </w:p>
        </w:tc>
      </w:tr>
      <w:tr w:rsidR="000D167E" w:rsidRPr="0050035B" w:rsidTr="000D167E">
        <w:trPr>
          <w:trHeight w:val="70"/>
        </w:trPr>
        <w:tc>
          <w:tcPr>
            <w:tcW w:w="1430" w:type="dxa"/>
            <w:vMerge w:val="restart"/>
            <w:tcBorders>
              <w:bottom w:val="single" w:sz="4" w:space="0" w:color="auto"/>
            </w:tcBorders>
            <w:vAlign w:val="center"/>
          </w:tcPr>
          <w:p w:rsidR="000D167E" w:rsidRPr="0050035B" w:rsidRDefault="000D167E" w:rsidP="000D167E">
            <w:pPr>
              <w:jc w:val="center"/>
              <w:rPr>
                <w:rFonts w:ascii="Century Gothic" w:hAnsi="Century Gothic"/>
                <w:b/>
                <w:sz w:val="18"/>
                <w:szCs w:val="18"/>
              </w:rPr>
            </w:pPr>
            <w:r w:rsidRPr="0050035B">
              <w:rPr>
                <w:rFonts w:ascii="Century Gothic" w:hAnsi="Century Gothic"/>
                <w:b/>
                <w:sz w:val="18"/>
                <w:szCs w:val="18"/>
              </w:rPr>
              <w:lastRenderedPageBreak/>
              <w:t>Federal</w:t>
            </w:r>
          </w:p>
          <w:p w:rsidR="000D167E" w:rsidRPr="0050035B" w:rsidRDefault="000D167E" w:rsidP="00990ADC">
            <w:pPr>
              <w:jc w:val="center"/>
              <w:rPr>
                <w:rFonts w:ascii="Century Gothic" w:hAnsi="Century Gothic"/>
                <w:b/>
                <w:sz w:val="18"/>
                <w:szCs w:val="18"/>
              </w:rPr>
            </w:pPr>
          </w:p>
        </w:tc>
        <w:tc>
          <w:tcPr>
            <w:tcW w:w="4568" w:type="dxa"/>
            <w:vMerge w:val="restart"/>
            <w:tcBorders>
              <w:bottom w:val="single" w:sz="4" w:space="0" w:color="auto"/>
            </w:tcBorders>
            <w:vAlign w:val="center"/>
          </w:tcPr>
          <w:p w:rsidR="000D167E" w:rsidRPr="0050035B" w:rsidRDefault="000D167E" w:rsidP="00990ADC">
            <w:pPr>
              <w:jc w:val="center"/>
              <w:rPr>
                <w:rFonts w:ascii="Century Gothic" w:hAnsi="Century Gothic" w:cs="Arial"/>
                <w:bCs/>
                <w:sz w:val="18"/>
                <w:szCs w:val="18"/>
              </w:rPr>
            </w:pPr>
            <w:r w:rsidRPr="0050035B">
              <w:rPr>
                <w:rFonts w:ascii="Century Gothic" w:hAnsi="Century Gothic" w:cs="Arial"/>
                <w:bCs/>
                <w:sz w:val="18"/>
                <w:szCs w:val="18"/>
              </w:rPr>
              <w:t>Ley de Disciplina Financiera de las Entidades Federativas y los Municipios (LDF)</w:t>
            </w:r>
          </w:p>
        </w:tc>
        <w:tc>
          <w:tcPr>
            <w:tcW w:w="1172" w:type="dxa"/>
            <w:vMerge w:val="restart"/>
            <w:tcBorders>
              <w:bottom w:val="single" w:sz="4" w:space="0" w:color="auto"/>
            </w:tcBorders>
            <w:vAlign w:val="center"/>
          </w:tcPr>
          <w:p w:rsidR="000D167E" w:rsidRPr="0050035B" w:rsidRDefault="000D167E" w:rsidP="00990ADC">
            <w:pPr>
              <w:jc w:val="center"/>
              <w:rPr>
                <w:rFonts w:ascii="Century Gothic" w:hAnsi="Century Gothic"/>
                <w:sz w:val="18"/>
                <w:szCs w:val="18"/>
              </w:rPr>
            </w:pPr>
            <w:r w:rsidRPr="0050035B">
              <w:rPr>
                <w:rFonts w:ascii="Century Gothic" w:hAnsi="Century Gothic"/>
                <w:sz w:val="18"/>
                <w:szCs w:val="18"/>
              </w:rPr>
              <w:t>30/01/2018</w:t>
            </w:r>
          </w:p>
        </w:tc>
        <w:tc>
          <w:tcPr>
            <w:tcW w:w="1635" w:type="dxa"/>
            <w:tcBorders>
              <w:bottom w:val="single" w:sz="4" w:space="0" w:color="auto"/>
            </w:tcBorders>
            <w:vAlign w:val="center"/>
          </w:tcPr>
          <w:p w:rsidR="000D167E" w:rsidRPr="0050035B" w:rsidRDefault="000D167E" w:rsidP="00990ADC">
            <w:pPr>
              <w:jc w:val="center"/>
              <w:rPr>
                <w:rFonts w:ascii="Century Gothic" w:hAnsi="Century Gothic"/>
                <w:sz w:val="18"/>
                <w:szCs w:val="18"/>
              </w:rPr>
            </w:pPr>
            <w:r w:rsidRPr="0050035B">
              <w:rPr>
                <w:rFonts w:ascii="Century Gothic" w:hAnsi="Century Gothic" w:cs="Arial"/>
                <w:sz w:val="18"/>
                <w:szCs w:val="18"/>
              </w:rPr>
              <w:t>23</w:t>
            </w:r>
          </w:p>
        </w:tc>
      </w:tr>
      <w:tr w:rsidR="000D167E" w:rsidRPr="0050035B" w:rsidTr="00990ADC">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24</w:t>
            </w:r>
          </w:p>
        </w:tc>
      </w:tr>
      <w:tr w:rsidR="000D167E" w:rsidRPr="0050035B" w:rsidTr="00990ADC">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25</w:t>
            </w:r>
          </w:p>
        </w:tc>
      </w:tr>
      <w:tr w:rsidR="000D167E" w:rsidRPr="0050035B" w:rsidTr="00990ADC">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26</w:t>
            </w:r>
          </w:p>
        </w:tc>
      </w:tr>
      <w:tr w:rsidR="000D167E" w:rsidRPr="0050035B" w:rsidTr="00990ADC">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restart"/>
            <w:vAlign w:val="center"/>
          </w:tcPr>
          <w:p w:rsidR="000D167E" w:rsidRPr="0050035B" w:rsidRDefault="000D167E" w:rsidP="00990ADC">
            <w:pPr>
              <w:jc w:val="center"/>
              <w:rPr>
                <w:rFonts w:ascii="Century Gothic" w:hAnsi="Century Gothic" w:cs="Arial"/>
                <w:bCs/>
                <w:sz w:val="18"/>
                <w:szCs w:val="18"/>
              </w:rPr>
            </w:pPr>
            <w:r w:rsidRPr="0050035B">
              <w:rPr>
                <w:rFonts w:ascii="Century Gothic" w:hAnsi="Century Gothic" w:cs="Arial"/>
                <w:bCs/>
                <w:sz w:val="18"/>
                <w:szCs w:val="18"/>
              </w:rPr>
              <w:t>Ley General de Contabilidad Gubernamental</w:t>
            </w:r>
          </w:p>
        </w:tc>
        <w:tc>
          <w:tcPr>
            <w:tcW w:w="1172" w:type="dxa"/>
            <w:vMerge w:val="restart"/>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sz w:val="18"/>
                <w:szCs w:val="18"/>
              </w:rPr>
              <w:t>30/01/2018</w:t>
            </w: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sz w:val="18"/>
                <w:szCs w:val="18"/>
              </w:rPr>
              <w:t>1</w:t>
            </w:r>
          </w:p>
        </w:tc>
      </w:tr>
      <w:tr w:rsidR="000D167E" w:rsidRPr="0050035B" w:rsidTr="00990ADC">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tcPr>
          <w:p w:rsidR="000D167E" w:rsidRPr="0050035B" w:rsidRDefault="000D167E" w:rsidP="00990ADC">
            <w:pPr>
              <w:jc w:val="center"/>
              <w:rPr>
                <w:rFonts w:ascii="Century Gothic" w:hAnsi="Century Gothic"/>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sz w:val="18"/>
                <w:szCs w:val="18"/>
              </w:rPr>
              <w:t>2</w:t>
            </w:r>
          </w:p>
        </w:tc>
      </w:tr>
      <w:tr w:rsidR="000D167E" w:rsidRPr="0050035B" w:rsidTr="00990ADC">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tcPr>
          <w:p w:rsidR="000D167E" w:rsidRPr="0050035B" w:rsidRDefault="000D167E" w:rsidP="00990ADC">
            <w:pPr>
              <w:jc w:val="center"/>
              <w:rPr>
                <w:rFonts w:ascii="Century Gothic" w:hAnsi="Century Gothic"/>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sz w:val="18"/>
                <w:szCs w:val="18"/>
              </w:rPr>
              <w:t>61</w:t>
            </w:r>
          </w:p>
        </w:tc>
      </w:tr>
      <w:tr w:rsidR="000D167E" w:rsidRPr="0050035B" w:rsidTr="00990ADC">
        <w:trPr>
          <w:trHeight w:val="197"/>
        </w:trPr>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tcPr>
          <w:p w:rsidR="000D167E" w:rsidRPr="0050035B" w:rsidRDefault="000D167E" w:rsidP="00990ADC">
            <w:pPr>
              <w:jc w:val="center"/>
              <w:rPr>
                <w:rFonts w:ascii="Century Gothic" w:hAnsi="Century Gothic"/>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sz w:val="18"/>
                <w:szCs w:val="18"/>
              </w:rPr>
              <w:t>63</w:t>
            </w:r>
          </w:p>
        </w:tc>
      </w:tr>
      <w:tr w:rsidR="000D167E" w:rsidRPr="0050035B" w:rsidTr="00990ADC">
        <w:trPr>
          <w:trHeight w:val="197"/>
        </w:trPr>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tcPr>
          <w:p w:rsidR="000D167E" w:rsidRPr="0050035B" w:rsidRDefault="000D167E" w:rsidP="00990ADC">
            <w:pPr>
              <w:jc w:val="center"/>
              <w:rPr>
                <w:rFonts w:ascii="Century Gothic" w:hAnsi="Century Gothic"/>
                <w:sz w:val="18"/>
                <w:szCs w:val="18"/>
              </w:rPr>
            </w:pPr>
          </w:p>
        </w:tc>
        <w:tc>
          <w:tcPr>
            <w:tcW w:w="1635" w:type="dxa"/>
            <w:vAlign w:val="center"/>
          </w:tcPr>
          <w:p w:rsidR="000D167E" w:rsidRPr="0050035B" w:rsidRDefault="000D167E" w:rsidP="00990ADC">
            <w:pPr>
              <w:jc w:val="center"/>
              <w:rPr>
                <w:rFonts w:ascii="Century Gothic" w:hAnsi="Century Gothic"/>
                <w:sz w:val="18"/>
                <w:szCs w:val="18"/>
              </w:rPr>
            </w:pPr>
            <w:r w:rsidRPr="0050035B">
              <w:rPr>
                <w:rFonts w:ascii="Century Gothic" w:hAnsi="Century Gothic"/>
                <w:sz w:val="18"/>
                <w:szCs w:val="18"/>
              </w:rPr>
              <w:t>66</w:t>
            </w:r>
          </w:p>
        </w:tc>
      </w:tr>
      <w:tr w:rsidR="000D167E" w:rsidRPr="0050035B" w:rsidTr="00990ADC">
        <w:trPr>
          <w:trHeight w:val="913"/>
        </w:trPr>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Align w:val="center"/>
          </w:tcPr>
          <w:p w:rsidR="000D167E" w:rsidRPr="0050035B" w:rsidRDefault="000D167E" w:rsidP="00990ADC">
            <w:pPr>
              <w:jc w:val="center"/>
              <w:rPr>
                <w:rFonts w:ascii="Century Gothic" w:hAnsi="Century Gothic" w:cs="Arial"/>
                <w:bCs/>
                <w:sz w:val="18"/>
                <w:szCs w:val="18"/>
              </w:rPr>
            </w:pPr>
            <w:r w:rsidRPr="0050035B">
              <w:rPr>
                <w:rFonts w:ascii="Century Gothic" w:hAnsi="Century Gothic" w:cs="Arial"/>
                <w:bCs/>
                <w:sz w:val="18"/>
                <w:szCs w:val="18"/>
              </w:rPr>
              <w:t>Norma para armonizar la presentación de la información adicional a la Iniciativa de Ley de Ingresos del que emite el Consejo Nacional de Armonización Contable (CONAC)</w:t>
            </w:r>
          </w:p>
        </w:tc>
        <w:tc>
          <w:tcPr>
            <w:tcW w:w="1172" w:type="dxa"/>
            <w:vAlign w:val="center"/>
          </w:tcPr>
          <w:p w:rsidR="000D167E" w:rsidRPr="0050035B" w:rsidRDefault="000D167E" w:rsidP="00990ADC">
            <w:pPr>
              <w:ind w:left="720" w:hanging="720"/>
              <w:jc w:val="center"/>
              <w:rPr>
                <w:rFonts w:ascii="Century Gothic" w:hAnsi="Century Gothic"/>
                <w:sz w:val="18"/>
                <w:szCs w:val="18"/>
              </w:rPr>
            </w:pPr>
            <w:r w:rsidRPr="0050035B">
              <w:rPr>
                <w:rFonts w:ascii="Century Gothic" w:hAnsi="Century Gothic"/>
                <w:sz w:val="18"/>
                <w:szCs w:val="18"/>
              </w:rPr>
              <w:t>11/06/2018</w:t>
            </w: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sz w:val="18"/>
                <w:szCs w:val="18"/>
              </w:rPr>
              <w:t>Completo</w:t>
            </w:r>
          </w:p>
        </w:tc>
      </w:tr>
      <w:tr w:rsidR="000D167E" w:rsidRPr="0050035B" w:rsidTr="00990ADC">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Align w:val="center"/>
          </w:tcPr>
          <w:p w:rsidR="000D167E" w:rsidRPr="0050035B" w:rsidRDefault="000D167E" w:rsidP="00990ADC">
            <w:pPr>
              <w:jc w:val="center"/>
              <w:rPr>
                <w:rFonts w:ascii="Century Gothic" w:hAnsi="Century Gothic" w:cs="Arial"/>
                <w:bCs/>
                <w:sz w:val="18"/>
                <w:szCs w:val="18"/>
              </w:rPr>
            </w:pPr>
            <w:r w:rsidRPr="0050035B">
              <w:rPr>
                <w:rFonts w:ascii="Century Gothic" w:hAnsi="Century Gothic" w:cs="Arial"/>
                <w:bCs/>
                <w:sz w:val="18"/>
                <w:szCs w:val="18"/>
              </w:rPr>
              <w:t>Clasificador por Rubros de Ingresos que emite el Consejo Nacional de Armonización Contable (CONAC)</w:t>
            </w:r>
          </w:p>
        </w:tc>
        <w:tc>
          <w:tcPr>
            <w:tcW w:w="1172" w:type="dxa"/>
            <w:vAlign w:val="center"/>
          </w:tcPr>
          <w:p w:rsidR="000D167E" w:rsidRPr="0050035B" w:rsidRDefault="000D167E" w:rsidP="00990ADC">
            <w:pPr>
              <w:jc w:val="center"/>
              <w:rPr>
                <w:rFonts w:ascii="Century Gothic" w:hAnsi="Century Gothic"/>
                <w:sz w:val="18"/>
                <w:szCs w:val="18"/>
              </w:rPr>
            </w:pPr>
            <w:r w:rsidRPr="0050035B">
              <w:rPr>
                <w:rFonts w:ascii="Century Gothic" w:hAnsi="Century Gothic"/>
                <w:sz w:val="18"/>
                <w:szCs w:val="18"/>
              </w:rPr>
              <w:t>27/09/2018</w:t>
            </w:r>
          </w:p>
        </w:tc>
        <w:tc>
          <w:tcPr>
            <w:tcW w:w="1635" w:type="dxa"/>
            <w:vAlign w:val="center"/>
          </w:tcPr>
          <w:p w:rsidR="000D167E" w:rsidRPr="0050035B" w:rsidRDefault="000D167E" w:rsidP="00990ADC">
            <w:pPr>
              <w:jc w:val="center"/>
              <w:rPr>
                <w:rFonts w:ascii="Century Gothic" w:hAnsi="Century Gothic"/>
                <w:sz w:val="18"/>
                <w:szCs w:val="18"/>
              </w:rPr>
            </w:pPr>
            <w:r w:rsidRPr="0050035B">
              <w:rPr>
                <w:rFonts w:ascii="Century Gothic" w:hAnsi="Century Gothic"/>
                <w:sz w:val="18"/>
                <w:szCs w:val="18"/>
              </w:rPr>
              <w:t>Completo</w:t>
            </w:r>
          </w:p>
        </w:tc>
      </w:tr>
      <w:tr w:rsidR="000D167E" w:rsidRPr="0050035B" w:rsidTr="00990ADC">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Align w:val="center"/>
          </w:tcPr>
          <w:p w:rsidR="000D167E" w:rsidRPr="0050035B" w:rsidRDefault="000D167E" w:rsidP="00990ADC">
            <w:pPr>
              <w:jc w:val="center"/>
              <w:rPr>
                <w:rFonts w:ascii="Century Gothic" w:hAnsi="Century Gothic" w:cs="Arial"/>
                <w:bCs/>
                <w:sz w:val="18"/>
                <w:szCs w:val="18"/>
              </w:rPr>
            </w:pPr>
            <w:r w:rsidRPr="0050035B">
              <w:rPr>
                <w:rFonts w:ascii="Century Gothic" w:hAnsi="Century Gothic" w:cs="Arial"/>
                <w:bCs/>
                <w:sz w:val="18"/>
                <w:szCs w:val="18"/>
              </w:rPr>
              <w:t>Norma para establecer la estructura del calendario de ingresos base mensual que emite el Consejo Nacional de Armonización Contable (CONAC)</w:t>
            </w:r>
          </w:p>
        </w:tc>
        <w:tc>
          <w:tcPr>
            <w:tcW w:w="1172" w:type="dxa"/>
            <w:vAlign w:val="center"/>
          </w:tcPr>
          <w:p w:rsidR="000D167E" w:rsidRPr="0050035B" w:rsidRDefault="000D167E" w:rsidP="00990ADC">
            <w:pPr>
              <w:jc w:val="center"/>
              <w:rPr>
                <w:rFonts w:ascii="Century Gothic" w:hAnsi="Century Gothic"/>
                <w:sz w:val="18"/>
                <w:szCs w:val="18"/>
              </w:rPr>
            </w:pPr>
            <w:r w:rsidRPr="0050035B">
              <w:rPr>
                <w:rFonts w:ascii="Century Gothic" w:hAnsi="Century Gothic"/>
                <w:sz w:val="18"/>
                <w:szCs w:val="18"/>
              </w:rPr>
              <w:t>11/06/2018</w:t>
            </w:r>
          </w:p>
        </w:tc>
        <w:tc>
          <w:tcPr>
            <w:tcW w:w="1635" w:type="dxa"/>
            <w:vAlign w:val="center"/>
          </w:tcPr>
          <w:p w:rsidR="000D167E" w:rsidRPr="0050035B" w:rsidRDefault="000D167E" w:rsidP="00990ADC">
            <w:pPr>
              <w:jc w:val="center"/>
              <w:rPr>
                <w:rFonts w:ascii="Century Gothic" w:hAnsi="Century Gothic"/>
                <w:sz w:val="18"/>
                <w:szCs w:val="18"/>
              </w:rPr>
            </w:pPr>
            <w:r w:rsidRPr="0050035B">
              <w:rPr>
                <w:rFonts w:ascii="Century Gothic" w:hAnsi="Century Gothic"/>
                <w:sz w:val="18"/>
                <w:szCs w:val="18"/>
              </w:rPr>
              <w:t>Completo</w:t>
            </w:r>
          </w:p>
        </w:tc>
      </w:tr>
      <w:tr w:rsidR="000D167E" w:rsidRPr="0050035B" w:rsidTr="00990ADC">
        <w:tc>
          <w:tcPr>
            <w:tcW w:w="1430" w:type="dxa"/>
            <w:vMerge w:val="restart"/>
            <w:vAlign w:val="center"/>
          </w:tcPr>
          <w:p w:rsidR="000D167E" w:rsidRPr="0050035B" w:rsidRDefault="000D167E" w:rsidP="00990ADC">
            <w:pPr>
              <w:jc w:val="center"/>
              <w:rPr>
                <w:rFonts w:ascii="Century Gothic" w:hAnsi="Century Gothic"/>
                <w:b/>
                <w:sz w:val="18"/>
                <w:szCs w:val="18"/>
              </w:rPr>
            </w:pPr>
            <w:r w:rsidRPr="0050035B">
              <w:rPr>
                <w:rFonts w:ascii="Century Gothic" w:hAnsi="Century Gothic"/>
                <w:b/>
                <w:sz w:val="18"/>
                <w:szCs w:val="18"/>
              </w:rPr>
              <w:t>Estatal</w:t>
            </w:r>
          </w:p>
        </w:tc>
        <w:tc>
          <w:tcPr>
            <w:tcW w:w="4568" w:type="dxa"/>
            <w:vMerge w:val="restart"/>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bCs/>
                <w:sz w:val="18"/>
                <w:szCs w:val="18"/>
              </w:rPr>
              <w:t>Constitución Política del Estado Libre y Soberano de Nuevo León</w:t>
            </w:r>
          </w:p>
        </w:tc>
        <w:tc>
          <w:tcPr>
            <w:tcW w:w="1172" w:type="dxa"/>
            <w:vMerge w:val="restart"/>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28/05/2021</w:t>
            </w:r>
          </w:p>
        </w:tc>
        <w:tc>
          <w:tcPr>
            <w:tcW w:w="1635" w:type="dxa"/>
            <w:vAlign w:val="center"/>
          </w:tcPr>
          <w:p w:rsidR="000D167E" w:rsidRPr="0050035B" w:rsidRDefault="000D167E" w:rsidP="00990ADC">
            <w:pPr>
              <w:jc w:val="center"/>
              <w:rPr>
                <w:rFonts w:ascii="Century Gothic" w:hAnsi="Century Gothic"/>
                <w:sz w:val="18"/>
                <w:szCs w:val="18"/>
              </w:rPr>
            </w:pPr>
            <w:r w:rsidRPr="0050035B">
              <w:rPr>
                <w:rFonts w:ascii="Century Gothic" w:hAnsi="Century Gothic" w:cs="Arial"/>
                <w:sz w:val="18"/>
                <w:szCs w:val="18"/>
              </w:rPr>
              <w:t>63, Fracción. X</w:t>
            </w:r>
          </w:p>
        </w:tc>
      </w:tr>
      <w:tr w:rsidR="000D167E" w:rsidRPr="0050035B" w:rsidTr="00990ADC">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119</w:t>
            </w:r>
          </w:p>
        </w:tc>
      </w:tr>
      <w:tr w:rsidR="000D167E" w:rsidRPr="0050035B" w:rsidTr="00990ADC">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128</w:t>
            </w:r>
          </w:p>
        </w:tc>
      </w:tr>
      <w:tr w:rsidR="000D167E" w:rsidRPr="0050035B" w:rsidTr="00990ADC">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restart"/>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bCs/>
                <w:sz w:val="18"/>
                <w:szCs w:val="18"/>
              </w:rPr>
              <w:t>Ley de Gobierno Municipal del Estado de Nuevo León</w:t>
            </w:r>
          </w:p>
        </w:tc>
        <w:tc>
          <w:tcPr>
            <w:tcW w:w="1172" w:type="dxa"/>
            <w:vMerge w:val="restart"/>
            <w:vAlign w:val="center"/>
          </w:tcPr>
          <w:p w:rsidR="000D167E" w:rsidRPr="0050035B" w:rsidRDefault="000D167E" w:rsidP="00990ADC">
            <w:pPr>
              <w:ind w:left="720" w:hanging="720"/>
              <w:jc w:val="center"/>
              <w:rPr>
                <w:rFonts w:ascii="Century Gothic" w:hAnsi="Century Gothic" w:cs="Arial"/>
                <w:sz w:val="18"/>
                <w:szCs w:val="18"/>
              </w:rPr>
            </w:pPr>
            <w:r w:rsidRPr="0050035B">
              <w:rPr>
                <w:rFonts w:ascii="Century Gothic" w:hAnsi="Century Gothic" w:cs="Arial"/>
                <w:sz w:val="18"/>
                <w:szCs w:val="18"/>
              </w:rPr>
              <w:t>06/08/2021</w:t>
            </w: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33 Fracción III b)</w:t>
            </w:r>
          </w:p>
        </w:tc>
      </w:tr>
      <w:tr w:rsidR="000D167E" w:rsidRPr="0050035B" w:rsidTr="00990ADC">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99</w:t>
            </w:r>
          </w:p>
        </w:tc>
      </w:tr>
      <w:tr w:rsidR="000D167E" w:rsidRPr="0050035B" w:rsidTr="00990ADC">
        <w:trPr>
          <w:trHeight w:val="176"/>
        </w:trPr>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100 frac. VII</w:t>
            </w:r>
          </w:p>
        </w:tc>
      </w:tr>
      <w:tr w:rsidR="000D167E" w:rsidRPr="0050035B" w:rsidTr="00990ADC">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174</w:t>
            </w:r>
          </w:p>
        </w:tc>
      </w:tr>
      <w:tr w:rsidR="000D167E" w:rsidRPr="0050035B" w:rsidTr="00990ADC">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175</w:t>
            </w:r>
          </w:p>
        </w:tc>
      </w:tr>
      <w:tr w:rsidR="000D167E" w:rsidRPr="0050035B" w:rsidTr="00990ADC">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176</w:t>
            </w:r>
          </w:p>
        </w:tc>
      </w:tr>
      <w:tr w:rsidR="000D167E" w:rsidRPr="0050035B" w:rsidTr="00990ADC">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189</w:t>
            </w:r>
          </w:p>
        </w:tc>
      </w:tr>
      <w:tr w:rsidR="000D167E" w:rsidRPr="0050035B" w:rsidTr="00990ADC">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190</w:t>
            </w:r>
          </w:p>
        </w:tc>
      </w:tr>
      <w:tr w:rsidR="000D167E" w:rsidRPr="0050035B" w:rsidTr="00990ADC">
        <w:trPr>
          <w:trHeight w:val="41"/>
        </w:trPr>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restart"/>
            <w:vAlign w:val="center"/>
          </w:tcPr>
          <w:p w:rsidR="000D167E" w:rsidRPr="0050035B" w:rsidRDefault="000D167E" w:rsidP="00990ADC">
            <w:pPr>
              <w:jc w:val="center"/>
              <w:rPr>
                <w:rFonts w:ascii="Century Gothic" w:hAnsi="Century Gothic" w:cs="Arial"/>
                <w:bCs/>
                <w:sz w:val="18"/>
                <w:szCs w:val="18"/>
              </w:rPr>
            </w:pPr>
            <w:r w:rsidRPr="0050035B">
              <w:rPr>
                <w:rFonts w:ascii="Century Gothic" w:hAnsi="Century Gothic" w:cs="Arial"/>
                <w:bCs/>
                <w:sz w:val="18"/>
                <w:szCs w:val="18"/>
              </w:rPr>
              <w:t>Código Fiscal del Estado de Nuevo León</w:t>
            </w:r>
          </w:p>
        </w:tc>
        <w:tc>
          <w:tcPr>
            <w:tcW w:w="1172" w:type="dxa"/>
            <w:vMerge w:val="restart"/>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30/12/2020</w:t>
            </w: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3</w:t>
            </w:r>
          </w:p>
        </w:tc>
      </w:tr>
      <w:tr w:rsidR="000D167E" w:rsidRPr="0050035B" w:rsidTr="00990ADC">
        <w:trPr>
          <w:trHeight w:val="41"/>
        </w:trPr>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vAlign w:val="center"/>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4</w:t>
            </w:r>
          </w:p>
        </w:tc>
      </w:tr>
      <w:tr w:rsidR="000D167E" w:rsidRPr="0050035B" w:rsidTr="00990ADC">
        <w:trPr>
          <w:trHeight w:val="41"/>
        </w:trPr>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vAlign w:val="center"/>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5</w:t>
            </w:r>
          </w:p>
        </w:tc>
      </w:tr>
      <w:tr w:rsidR="000D167E" w:rsidRPr="0050035B" w:rsidTr="00990ADC">
        <w:trPr>
          <w:trHeight w:val="41"/>
        </w:trPr>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vAlign w:val="center"/>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6</w:t>
            </w:r>
          </w:p>
        </w:tc>
      </w:tr>
      <w:tr w:rsidR="000D167E" w:rsidRPr="0050035B" w:rsidTr="00990ADC">
        <w:trPr>
          <w:trHeight w:val="41"/>
        </w:trPr>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restart"/>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Ley de Coordinación Hacendaria del Estado de Nuevo León</w:t>
            </w:r>
          </w:p>
        </w:tc>
        <w:tc>
          <w:tcPr>
            <w:tcW w:w="1172" w:type="dxa"/>
            <w:vMerge w:val="restart"/>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31/12/2018</w:t>
            </w: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12</w:t>
            </w:r>
          </w:p>
        </w:tc>
      </w:tr>
      <w:tr w:rsidR="000D167E" w:rsidRPr="0050035B" w:rsidTr="00990ADC">
        <w:trPr>
          <w:trHeight w:val="41"/>
        </w:trPr>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vAlign w:val="center"/>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14</w:t>
            </w:r>
          </w:p>
        </w:tc>
      </w:tr>
      <w:tr w:rsidR="000D167E" w:rsidRPr="0050035B" w:rsidTr="00990ADC">
        <w:trPr>
          <w:trHeight w:val="41"/>
        </w:trPr>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vAlign w:val="center"/>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16</w:t>
            </w:r>
          </w:p>
        </w:tc>
      </w:tr>
      <w:tr w:rsidR="000D167E" w:rsidRPr="0050035B" w:rsidTr="00990ADC">
        <w:trPr>
          <w:trHeight w:val="41"/>
        </w:trPr>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vAlign w:val="center"/>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17</w:t>
            </w:r>
          </w:p>
        </w:tc>
      </w:tr>
      <w:tr w:rsidR="000D167E" w:rsidRPr="0050035B" w:rsidTr="00990ADC">
        <w:trPr>
          <w:trHeight w:val="41"/>
        </w:trPr>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vAlign w:val="center"/>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19</w:t>
            </w:r>
          </w:p>
        </w:tc>
      </w:tr>
      <w:tr w:rsidR="000D167E" w:rsidRPr="0050035B" w:rsidTr="00990ADC">
        <w:trPr>
          <w:trHeight w:val="41"/>
        </w:trPr>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vAlign w:val="center"/>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20</w:t>
            </w:r>
          </w:p>
        </w:tc>
      </w:tr>
      <w:tr w:rsidR="000D167E" w:rsidRPr="0050035B" w:rsidTr="00990ADC">
        <w:trPr>
          <w:trHeight w:val="41"/>
        </w:trPr>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vAlign w:val="center"/>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22</w:t>
            </w:r>
          </w:p>
        </w:tc>
      </w:tr>
      <w:tr w:rsidR="000D167E" w:rsidRPr="0050035B" w:rsidTr="00990ADC">
        <w:trPr>
          <w:trHeight w:val="41"/>
        </w:trPr>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vAlign w:val="center"/>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26</w:t>
            </w:r>
          </w:p>
        </w:tc>
      </w:tr>
      <w:tr w:rsidR="000D167E" w:rsidRPr="0050035B" w:rsidTr="00990ADC">
        <w:trPr>
          <w:trHeight w:val="41"/>
        </w:trPr>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vAlign w:val="center"/>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27</w:t>
            </w:r>
          </w:p>
        </w:tc>
      </w:tr>
      <w:tr w:rsidR="000D167E" w:rsidRPr="0050035B" w:rsidTr="00990ADC">
        <w:trPr>
          <w:trHeight w:val="169"/>
        </w:trPr>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vAlign w:val="center"/>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31</w:t>
            </w:r>
          </w:p>
        </w:tc>
      </w:tr>
      <w:tr w:rsidR="000D167E" w:rsidRPr="0050035B" w:rsidTr="00990ADC">
        <w:trPr>
          <w:trHeight w:val="169"/>
        </w:trPr>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vAlign w:val="center"/>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31 Bis</w:t>
            </w:r>
          </w:p>
        </w:tc>
      </w:tr>
      <w:tr w:rsidR="000D167E" w:rsidRPr="0050035B" w:rsidTr="00990ADC">
        <w:trPr>
          <w:trHeight w:val="91"/>
        </w:trPr>
        <w:tc>
          <w:tcPr>
            <w:tcW w:w="1430" w:type="dxa"/>
            <w:vMerge w:val="restart"/>
            <w:vAlign w:val="center"/>
          </w:tcPr>
          <w:p w:rsidR="000D167E" w:rsidRPr="0050035B" w:rsidRDefault="000D167E" w:rsidP="00990ADC">
            <w:pPr>
              <w:jc w:val="center"/>
              <w:rPr>
                <w:rFonts w:ascii="Century Gothic" w:hAnsi="Century Gothic"/>
                <w:b/>
                <w:sz w:val="18"/>
                <w:szCs w:val="18"/>
              </w:rPr>
            </w:pPr>
            <w:r w:rsidRPr="0050035B">
              <w:rPr>
                <w:rFonts w:ascii="Century Gothic" w:hAnsi="Century Gothic"/>
                <w:b/>
                <w:sz w:val="18"/>
                <w:szCs w:val="18"/>
              </w:rPr>
              <w:t>Municipal</w:t>
            </w:r>
          </w:p>
        </w:tc>
        <w:tc>
          <w:tcPr>
            <w:tcW w:w="4568" w:type="dxa"/>
            <w:vMerge w:val="restart"/>
            <w:vAlign w:val="center"/>
          </w:tcPr>
          <w:p w:rsidR="000D167E" w:rsidRPr="0050035B" w:rsidRDefault="000D167E" w:rsidP="00990ADC">
            <w:pPr>
              <w:jc w:val="center"/>
              <w:rPr>
                <w:rFonts w:ascii="Century Gothic" w:hAnsi="Century Gothic" w:cs="Arial"/>
                <w:bCs/>
                <w:sz w:val="18"/>
                <w:szCs w:val="18"/>
              </w:rPr>
            </w:pPr>
            <w:r w:rsidRPr="0050035B">
              <w:rPr>
                <w:rFonts w:ascii="Century Gothic" w:hAnsi="Century Gothic" w:cs="Arial"/>
                <w:bCs/>
                <w:sz w:val="18"/>
                <w:szCs w:val="18"/>
              </w:rPr>
              <w:t>Reglamento de la Administración Pública Municipal de Monterrey</w:t>
            </w:r>
          </w:p>
        </w:tc>
        <w:tc>
          <w:tcPr>
            <w:tcW w:w="1172" w:type="dxa"/>
            <w:vMerge w:val="restart"/>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17/04/2019</w:t>
            </w: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32</w:t>
            </w:r>
          </w:p>
        </w:tc>
      </w:tr>
      <w:tr w:rsidR="000D167E" w:rsidRPr="0050035B" w:rsidTr="00990ADC">
        <w:trPr>
          <w:trHeight w:val="91"/>
        </w:trPr>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35</w:t>
            </w:r>
          </w:p>
        </w:tc>
      </w:tr>
      <w:tr w:rsidR="000D167E" w:rsidRPr="0050035B" w:rsidTr="00990ADC">
        <w:trPr>
          <w:trHeight w:val="91"/>
        </w:trPr>
        <w:tc>
          <w:tcPr>
            <w:tcW w:w="1430" w:type="dxa"/>
            <w:vMerge/>
            <w:vAlign w:val="center"/>
          </w:tcPr>
          <w:p w:rsidR="000D167E" w:rsidRPr="0050035B" w:rsidRDefault="000D167E" w:rsidP="00990ADC">
            <w:pPr>
              <w:jc w:val="center"/>
              <w:rPr>
                <w:rFonts w:ascii="Century Gothic" w:hAnsi="Century Gothic"/>
                <w:b/>
                <w:sz w:val="18"/>
                <w:szCs w:val="18"/>
              </w:rPr>
            </w:pPr>
          </w:p>
        </w:tc>
        <w:tc>
          <w:tcPr>
            <w:tcW w:w="4568" w:type="dxa"/>
            <w:vMerge/>
            <w:vAlign w:val="center"/>
          </w:tcPr>
          <w:p w:rsidR="000D167E" w:rsidRPr="0050035B" w:rsidRDefault="000D167E" w:rsidP="00990ADC">
            <w:pPr>
              <w:jc w:val="center"/>
              <w:rPr>
                <w:rFonts w:ascii="Century Gothic" w:hAnsi="Century Gothic" w:cs="Arial"/>
                <w:bCs/>
                <w:sz w:val="18"/>
                <w:szCs w:val="18"/>
              </w:rPr>
            </w:pPr>
          </w:p>
        </w:tc>
        <w:tc>
          <w:tcPr>
            <w:tcW w:w="1172" w:type="dxa"/>
            <w:vMerge/>
          </w:tcPr>
          <w:p w:rsidR="000D167E" w:rsidRPr="0050035B" w:rsidRDefault="000D167E" w:rsidP="00990ADC">
            <w:pPr>
              <w:jc w:val="center"/>
              <w:rPr>
                <w:rFonts w:ascii="Century Gothic" w:hAnsi="Century Gothic" w:cs="Arial"/>
                <w:sz w:val="18"/>
                <w:szCs w:val="18"/>
              </w:rPr>
            </w:pPr>
          </w:p>
        </w:tc>
        <w:tc>
          <w:tcPr>
            <w:tcW w:w="1635" w:type="dxa"/>
            <w:vAlign w:val="center"/>
          </w:tcPr>
          <w:p w:rsidR="000D167E" w:rsidRPr="0050035B" w:rsidRDefault="000D167E" w:rsidP="00990ADC">
            <w:pPr>
              <w:jc w:val="center"/>
              <w:rPr>
                <w:rFonts w:ascii="Century Gothic" w:hAnsi="Century Gothic" w:cs="Arial"/>
                <w:sz w:val="18"/>
                <w:szCs w:val="18"/>
              </w:rPr>
            </w:pPr>
            <w:r w:rsidRPr="0050035B">
              <w:rPr>
                <w:rFonts w:ascii="Century Gothic" w:hAnsi="Century Gothic" w:cs="Arial"/>
                <w:sz w:val="18"/>
                <w:szCs w:val="18"/>
              </w:rPr>
              <w:t>37</w:t>
            </w:r>
          </w:p>
        </w:tc>
      </w:tr>
    </w:tbl>
    <w:p w:rsidR="000D167E" w:rsidRDefault="000D167E" w:rsidP="003877DB">
      <w:pPr>
        <w:spacing w:line="360" w:lineRule="auto"/>
        <w:rPr>
          <w:rFonts w:ascii="Century Gothic" w:hAnsi="Century Gothic"/>
          <w:sz w:val="20"/>
          <w:szCs w:val="20"/>
          <w:lang w:val="es-MX"/>
        </w:rPr>
      </w:pPr>
      <w:r w:rsidRPr="0050035B">
        <w:rPr>
          <w:rFonts w:ascii="Century Gothic" w:hAnsi="Century Gothic"/>
          <w:b/>
          <w:bCs/>
          <w:sz w:val="20"/>
          <w:szCs w:val="20"/>
          <w:lang w:val="es-MX"/>
        </w:rPr>
        <w:t>Fuente</w:t>
      </w:r>
      <w:r w:rsidRPr="0050035B">
        <w:rPr>
          <w:rFonts w:ascii="Century Gothic" w:hAnsi="Century Gothic"/>
          <w:sz w:val="20"/>
          <w:szCs w:val="20"/>
          <w:lang w:val="es-MX"/>
        </w:rPr>
        <w:t>: Elaboración propia, 2021.</w:t>
      </w:r>
    </w:p>
    <w:p w:rsidR="00C17543" w:rsidRDefault="00C17543" w:rsidP="003877DB">
      <w:pPr>
        <w:spacing w:line="360" w:lineRule="auto"/>
        <w:rPr>
          <w:rFonts w:ascii="Century Gothic" w:hAnsi="Century Gothic"/>
          <w:b/>
          <w:lang w:val="es-MX"/>
        </w:rPr>
      </w:pPr>
    </w:p>
    <w:p w:rsidR="00643208" w:rsidRPr="0050035B" w:rsidRDefault="00CF13F6" w:rsidP="003877DB">
      <w:pPr>
        <w:spacing w:line="360" w:lineRule="auto"/>
        <w:rPr>
          <w:rFonts w:ascii="Century Gothic" w:hAnsi="Century Gothic"/>
          <w:b/>
          <w:lang w:val="es-MX"/>
        </w:rPr>
      </w:pPr>
      <w:r w:rsidRPr="0050035B">
        <w:rPr>
          <w:rFonts w:ascii="Century Gothic" w:hAnsi="Century Gothic"/>
          <w:b/>
          <w:lang w:val="es-MX"/>
        </w:rPr>
        <w:lastRenderedPageBreak/>
        <w:t>1.</w:t>
      </w:r>
      <w:r w:rsidR="00C960F0" w:rsidRPr="0050035B">
        <w:rPr>
          <w:rFonts w:ascii="Century Gothic" w:hAnsi="Century Gothic"/>
          <w:b/>
          <w:lang w:val="es-MX"/>
        </w:rPr>
        <w:t>2</w:t>
      </w:r>
      <w:r w:rsidRPr="0050035B">
        <w:rPr>
          <w:rFonts w:ascii="Century Gothic" w:hAnsi="Century Gothic"/>
          <w:b/>
          <w:lang w:val="es-MX"/>
        </w:rPr>
        <w:t>.</w:t>
      </w:r>
      <w:r w:rsidR="00DB26DD" w:rsidRPr="0050035B">
        <w:rPr>
          <w:rFonts w:ascii="Century Gothic" w:hAnsi="Century Gothic"/>
          <w:b/>
          <w:lang w:val="es-MX"/>
        </w:rPr>
        <w:t xml:space="preserve"> </w:t>
      </w:r>
      <w:r w:rsidR="0045728C" w:rsidRPr="0050035B">
        <w:rPr>
          <w:rFonts w:ascii="Century Gothic" w:hAnsi="Century Gothic"/>
          <w:b/>
          <w:lang w:val="es-MX"/>
        </w:rPr>
        <w:t>P</w:t>
      </w:r>
      <w:r w:rsidR="00DB26DD" w:rsidRPr="0050035B">
        <w:rPr>
          <w:rFonts w:ascii="Century Gothic" w:hAnsi="Century Gothic"/>
          <w:b/>
          <w:lang w:val="es-MX"/>
        </w:rPr>
        <w:t>rincipales dis</w:t>
      </w:r>
      <w:r w:rsidR="00C76666" w:rsidRPr="0050035B">
        <w:rPr>
          <w:rFonts w:ascii="Century Gothic" w:hAnsi="Century Gothic"/>
          <w:b/>
          <w:lang w:val="es-MX"/>
        </w:rPr>
        <w:t>posiciones</w:t>
      </w:r>
      <w:r w:rsidR="00DB26DD" w:rsidRPr="0050035B">
        <w:rPr>
          <w:rFonts w:ascii="Century Gothic" w:hAnsi="Century Gothic"/>
          <w:b/>
          <w:lang w:val="es-MX"/>
        </w:rPr>
        <w:t xml:space="preserve"> normativas </w:t>
      </w:r>
      <w:r w:rsidR="00C76666" w:rsidRPr="0050035B">
        <w:rPr>
          <w:rFonts w:ascii="Century Gothic" w:hAnsi="Century Gothic"/>
          <w:b/>
          <w:lang w:val="es-MX"/>
        </w:rPr>
        <w:t>aplicables</w:t>
      </w:r>
    </w:p>
    <w:p w:rsidR="00643208" w:rsidRPr="0050035B" w:rsidRDefault="00CF13F6" w:rsidP="00643208">
      <w:pPr>
        <w:spacing w:line="360" w:lineRule="auto"/>
        <w:jc w:val="both"/>
        <w:rPr>
          <w:rFonts w:ascii="Century Gothic" w:hAnsi="Century Gothic"/>
          <w:b/>
          <w:lang w:val="es-MX"/>
        </w:rPr>
      </w:pPr>
      <w:r w:rsidRPr="0050035B">
        <w:rPr>
          <w:rFonts w:ascii="Century Gothic" w:hAnsi="Century Gothic"/>
          <w:b/>
          <w:lang w:val="es-MX"/>
        </w:rPr>
        <w:t>1.</w:t>
      </w:r>
      <w:r w:rsidR="00C960F0" w:rsidRPr="0050035B">
        <w:rPr>
          <w:rFonts w:ascii="Century Gothic" w:hAnsi="Century Gothic"/>
          <w:b/>
          <w:lang w:val="es-MX"/>
        </w:rPr>
        <w:t>2.1</w:t>
      </w:r>
      <w:r w:rsidR="00DB26DD" w:rsidRPr="0050035B">
        <w:rPr>
          <w:rFonts w:ascii="Century Gothic" w:hAnsi="Century Gothic"/>
          <w:b/>
          <w:lang w:val="es-MX"/>
        </w:rPr>
        <w:t xml:space="preserve">. </w:t>
      </w:r>
      <w:r w:rsidR="00643208" w:rsidRPr="0050035B">
        <w:rPr>
          <w:rFonts w:ascii="Century Gothic" w:hAnsi="Century Gothic"/>
          <w:b/>
          <w:lang w:val="es-MX"/>
        </w:rPr>
        <w:t xml:space="preserve">Constitución Política de los </w:t>
      </w:r>
      <w:r w:rsidR="00373DAB" w:rsidRPr="0050035B">
        <w:rPr>
          <w:rFonts w:ascii="Century Gothic" w:hAnsi="Century Gothic"/>
          <w:b/>
          <w:lang w:val="es-MX"/>
        </w:rPr>
        <w:t>Estado</w:t>
      </w:r>
      <w:r w:rsidR="00643208" w:rsidRPr="0050035B">
        <w:rPr>
          <w:rFonts w:ascii="Century Gothic" w:hAnsi="Century Gothic"/>
          <w:b/>
          <w:lang w:val="es-MX"/>
        </w:rPr>
        <w:t>s Unidos Mexicanos</w:t>
      </w:r>
    </w:p>
    <w:p w:rsidR="00643208" w:rsidRPr="0050035B" w:rsidRDefault="00643208" w:rsidP="00445763">
      <w:pPr>
        <w:spacing w:line="360" w:lineRule="auto"/>
        <w:jc w:val="both"/>
        <w:rPr>
          <w:rFonts w:ascii="Century Gothic" w:hAnsi="Century Gothic"/>
          <w:lang w:val="es-MX"/>
        </w:rPr>
      </w:pPr>
      <w:r w:rsidRPr="0050035B">
        <w:rPr>
          <w:rFonts w:ascii="Century Gothic" w:hAnsi="Century Gothic"/>
          <w:lang w:val="es-MX"/>
        </w:rPr>
        <w:t>El artículo 115 fracción IV señala: “</w:t>
      </w:r>
      <w:r w:rsidR="00AA6F66" w:rsidRPr="0050035B">
        <w:rPr>
          <w:rFonts w:ascii="Century Gothic" w:hAnsi="Century Gothic"/>
          <w:lang w:val="es-MX"/>
        </w:rPr>
        <w:t xml:space="preserve">Los </w:t>
      </w:r>
      <w:r w:rsidR="00373DAB" w:rsidRPr="0050035B">
        <w:rPr>
          <w:rFonts w:ascii="Century Gothic" w:hAnsi="Century Gothic"/>
          <w:lang w:val="es-MX"/>
        </w:rPr>
        <w:t>Municipio</w:t>
      </w:r>
      <w:r w:rsidRPr="0050035B">
        <w:rPr>
          <w:rFonts w:ascii="Century Gothic" w:hAnsi="Century Gothic"/>
          <w:lang w:val="es-MX"/>
        </w:rPr>
        <w:t xml:space="preserve">s administrarán libremente su hacienda…”. Además, establece que: “… las Legislaturas de los </w:t>
      </w:r>
      <w:r w:rsidR="00373DAB" w:rsidRPr="0050035B">
        <w:rPr>
          <w:rFonts w:ascii="Century Gothic" w:hAnsi="Century Gothic"/>
          <w:lang w:val="es-MX"/>
        </w:rPr>
        <w:t>Estado</w:t>
      </w:r>
      <w:r w:rsidRPr="0050035B">
        <w:rPr>
          <w:rFonts w:ascii="Century Gothic" w:hAnsi="Century Gothic"/>
          <w:lang w:val="es-MX"/>
        </w:rPr>
        <w:t xml:space="preserve">s aprobarán las leyes de ingresos de los </w:t>
      </w:r>
      <w:r w:rsidR="00373DAB" w:rsidRPr="0050035B">
        <w:rPr>
          <w:rFonts w:ascii="Century Gothic" w:hAnsi="Century Gothic"/>
          <w:lang w:val="es-MX"/>
        </w:rPr>
        <w:t>Municipio</w:t>
      </w:r>
      <w:r w:rsidR="00C76439" w:rsidRPr="0050035B">
        <w:rPr>
          <w:rFonts w:ascii="Century Gothic" w:hAnsi="Century Gothic"/>
          <w:lang w:val="es-MX"/>
        </w:rPr>
        <w:t>s</w:t>
      </w:r>
      <w:r w:rsidR="00070C0E" w:rsidRPr="0050035B">
        <w:rPr>
          <w:rFonts w:ascii="Century Gothic" w:hAnsi="Century Gothic"/>
          <w:lang w:val="es-MX"/>
        </w:rPr>
        <w:t>”.</w:t>
      </w:r>
    </w:p>
    <w:p w:rsidR="00643208" w:rsidRPr="0050035B" w:rsidRDefault="00643208" w:rsidP="00643208">
      <w:pPr>
        <w:spacing w:line="360" w:lineRule="auto"/>
        <w:jc w:val="both"/>
        <w:rPr>
          <w:rFonts w:ascii="Century Gothic" w:hAnsi="Century Gothic"/>
          <w:b/>
          <w:lang w:val="es-MX"/>
        </w:rPr>
      </w:pPr>
    </w:p>
    <w:p w:rsidR="00D874B1" w:rsidRPr="0050035B" w:rsidRDefault="003D448B" w:rsidP="00AA6F66">
      <w:pPr>
        <w:spacing w:line="360" w:lineRule="auto"/>
        <w:ind w:firstLine="720"/>
        <w:jc w:val="both"/>
        <w:rPr>
          <w:rFonts w:ascii="Century Gothic" w:hAnsi="Century Gothic"/>
          <w:lang w:val="es-MX"/>
        </w:rPr>
      </w:pPr>
      <w:r w:rsidRPr="0050035B">
        <w:rPr>
          <w:rFonts w:ascii="Century Gothic" w:hAnsi="Century Gothic"/>
          <w:lang w:val="es-MX"/>
        </w:rPr>
        <w:t>En</w:t>
      </w:r>
      <w:r w:rsidR="00AA6F66" w:rsidRPr="0050035B">
        <w:rPr>
          <w:rFonts w:ascii="Century Gothic" w:hAnsi="Century Gothic"/>
          <w:lang w:val="es-MX"/>
        </w:rPr>
        <w:t xml:space="preserve"> el artículo </w:t>
      </w:r>
      <w:r w:rsidR="00D874B1" w:rsidRPr="0050035B">
        <w:rPr>
          <w:rFonts w:ascii="Century Gothic" w:hAnsi="Century Gothic"/>
          <w:lang w:val="es-MX"/>
        </w:rPr>
        <w:t>134</w:t>
      </w:r>
      <w:r w:rsidRPr="0050035B">
        <w:rPr>
          <w:rFonts w:ascii="Century Gothic" w:hAnsi="Century Gothic"/>
          <w:lang w:val="es-MX"/>
        </w:rPr>
        <w:t xml:space="preserve"> se</w:t>
      </w:r>
      <w:r w:rsidR="00AA6F66" w:rsidRPr="0050035B">
        <w:rPr>
          <w:rFonts w:ascii="Century Gothic" w:hAnsi="Century Gothic"/>
          <w:lang w:val="es-MX"/>
        </w:rPr>
        <w:t xml:space="preserve"> estipula que: “</w:t>
      </w:r>
      <w:r w:rsidR="00D874B1" w:rsidRPr="0050035B">
        <w:rPr>
          <w:rFonts w:ascii="Century Gothic" w:hAnsi="Century Gothic"/>
          <w:lang w:val="es-MX"/>
        </w:rPr>
        <w:t xml:space="preserve">Los recursos económicos de que disponga la Federación, los </w:t>
      </w:r>
      <w:r w:rsidR="00373DAB" w:rsidRPr="0050035B">
        <w:rPr>
          <w:rFonts w:ascii="Century Gothic" w:hAnsi="Century Gothic"/>
          <w:lang w:val="es-MX"/>
        </w:rPr>
        <w:t>Estado</w:t>
      </w:r>
      <w:r w:rsidR="003576F8" w:rsidRPr="0050035B">
        <w:rPr>
          <w:rFonts w:ascii="Century Gothic" w:hAnsi="Century Gothic"/>
          <w:lang w:val="es-MX"/>
        </w:rPr>
        <w:t>s, l</w:t>
      </w:r>
      <w:r w:rsidR="00D874B1" w:rsidRPr="0050035B">
        <w:rPr>
          <w:rFonts w:ascii="Century Gothic" w:hAnsi="Century Gothic"/>
          <w:lang w:val="es-MX"/>
        </w:rPr>
        <w:t xml:space="preserve">os </w:t>
      </w:r>
      <w:r w:rsidR="00373DAB" w:rsidRPr="0050035B">
        <w:rPr>
          <w:rFonts w:ascii="Century Gothic" w:hAnsi="Century Gothic"/>
          <w:lang w:val="es-MX"/>
        </w:rPr>
        <w:t>Municipio</w:t>
      </w:r>
      <w:r w:rsidR="00D874B1" w:rsidRPr="0050035B">
        <w:rPr>
          <w:rFonts w:ascii="Century Gothic" w:hAnsi="Century Gothic"/>
          <w:lang w:val="es-MX"/>
        </w:rPr>
        <w:t xml:space="preserve">s, el Distrito Federal y los órganos político-administrativos de sus demarcaciones territoriales, se </w:t>
      </w:r>
      <w:r w:rsidR="005B6BB5" w:rsidRPr="0050035B">
        <w:rPr>
          <w:rFonts w:ascii="Century Gothic" w:hAnsi="Century Gothic"/>
          <w:lang w:val="es-MX"/>
        </w:rPr>
        <w:t>administrarán</w:t>
      </w:r>
      <w:r w:rsidR="00D874B1" w:rsidRPr="0050035B">
        <w:rPr>
          <w:rFonts w:ascii="Century Gothic" w:hAnsi="Century Gothic"/>
          <w:lang w:val="es-MX"/>
        </w:rPr>
        <w:t xml:space="preserve"> con eficacia, </w:t>
      </w:r>
      <w:r w:rsidR="005B6BB5" w:rsidRPr="0050035B">
        <w:rPr>
          <w:rFonts w:ascii="Century Gothic" w:hAnsi="Century Gothic"/>
          <w:lang w:val="es-MX"/>
        </w:rPr>
        <w:t>eficiencia</w:t>
      </w:r>
      <w:r w:rsidR="00D874B1" w:rsidRPr="0050035B">
        <w:rPr>
          <w:rFonts w:ascii="Century Gothic" w:hAnsi="Century Gothic"/>
          <w:lang w:val="es-MX"/>
        </w:rPr>
        <w:t xml:space="preserve">, economía, transparencia y honradez para </w:t>
      </w:r>
      <w:r w:rsidR="005B6BB5" w:rsidRPr="0050035B">
        <w:rPr>
          <w:rFonts w:ascii="Century Gothic" w:hAnsi="Century Gothic"/>
          <w:lang w:val="es-MX"/>
        </w:rPr>
        <w:t>satisfacer</w:t>
      </w:r>
      <w:r w:rsidR="00AA6F66" w:rsidRPr="0050035B">
        <w:rPr>
          <w:rFonts w:ascii="Century Gothic" w:hAnsi="Century Gothic"/>
          <w:lang w:val="es-MX"/>
        </w:rPr>
        <w:t xml:space="preserve"> l</w:t>
      </w:r>
      <w:r w:rsidR="00D874B1" w:rsidRPr="0050035B">
        <w:rPr>
          <w:rFonts w:ascii="Century Gothic" w:hAnsi="Century Gothic"/>
          <w:lang w:val="es-MX"/>
        </w:rPr>
        <w:t>o</w:t>
      </w:r>
      <w:r w:rsidR="00AA6F66" w:rsidRPr="0050035B">
        <w:rPr>
          <w:rFonts w:ascii="Century Gothic" w:hAnsi="Century Gothic"/>
          <w:lang w:val="es-MX"/>
        </w:rPr>
        <w:t>s</w:t>
      </w:r>
      <w:r w:rsidR="00D874B1" w:rsidRPr="0050035B">
        <w:rPr>
          <w:rFonts w:ascii="Century Gothic" w:hAnsi="Century Gothic"/>
          <w:lang w:val="es-MX"/>
        </w:rPr>
        <w:t xml:space="preserve"> objet</w:t>
      </w:r>
      <w:r w:rsidR="00AA6F66" w:rsidRPr="0050035B">
        <w:rPr>
          <w:rFonts w:ascii="Century Gothic" w:hAnsi="Century Gothic"/>
          <w:lang w:val="es-MX"/>
        </w:rPr>
        <w:t>ivos a los que estén destinados”.</w:t>
      </w:r>
      <w:r w:rsidR="00D874B1" w:rsidRPr="0050035B">
        <w:rPr>
          <w:rFonts w:ascii="Century Gothic" w:hAnsi="Century Gothic"/>
          <w:lang w:val="es-MX"/>
        </w:rPr>
        <w:t xml:space="preserve"> </w:t>
      </w:r>
    </w:p>
    <w:p w:rsidR="00D874B1" w:rsidRPr="0050035B" w:rsidRDefault="00D874B1" w:rsidP="00643208">
      <w:pPr>
        <w:spacing w:line="360" w:lineRule="auto"/>
        <w:jc w:val="both"/>
        <w:rPr>
          <w:rFonts w:ascii="Century Gothic" w:hAnsi="Century Gothic"/>
          <w:b/>
          <w:lang w:val="es-MX"/>
        </w:rPr>
      </w:pPr>
    </w:p>
    <w:p w:rsidR="00C610DB" w:rsidRPr="0050035B" w:rsidRDefault="00CF13F6" w:rsidP="00C610DB">
      <w:pPr>
        <w:spacing w:line="360" w:lineRule="auto"/>
        <w:jc w:val="both"/>
        <w:rPr>
          <w:rFonts w:ascii="Century Gothic" w:hAnsi="Century Gothic"/>
          <w:b/>
          <w:lang w:val="es-MX"/>
        </w:rPr>
      </w:pPr>
      <w:r w:rsidRPr="0050035B">
        <w:rPr>
          <w:rFonts w:ascii="Century Gothic" w:hAnsi="Century Gothic"/>
          <w:b/>
          <w:lang w:val="es-MX"/>
        </w:rPr>
        <w:t>1.</w:t>
      </w:r>
      <w:r w:rsidR="008B37F4" w:rsidRPr="0050035B">
        <w:rPr>
          <w:rFonts w:ascii="Century Gothic" w:hAnsi="Century Gothic"/>
          <w:b/>
          <w:lang w:val="es-MX"/>
        </w:rPr>
        <w:t>2.2</w:t>
      </w:r>
      <w:r w:rsidR="00C610DB" w:rsidRPr="0050035B">
        <w:rPr>
          <w:rFonts w:ascii="Century Gothic" w:hAnsi="Century Gothic"/>
          <w:b/>
          <w:lang w:val="es-MX"/>
        </w:rPr>
        <w:t>. Ley de Coordinación Fiscal</w:t>
      </w:r>
    </w:p>
    <w:p w:rsidR="00C610DB" w:rsidRPr="0050035B" w:rsidRDefault="00C610DB" w:rsidP="00C610DB">
      <w:pPr>
        <w:spacing w:line="360" w:lineRule="auto"/>
        <w:jc w:val="both"/>
        <w:rPr>
          <w:rFonts w:ascii="Century Gothic" w:hAnsi="Century Gothic"/>
          <w:lang w:val="es-MX"/>
        </w:rPr>
      </w:pPr>
      <w:r w:rsidRPr="0050035B">
        <w:rPr>
          <w:rFonts w:ascii="Century Gothic" w:hAnsi="Century Gothic"/>
          <w:lang w:val="es-MX"/>
        </w:rPr>
        <w:t xml:space="preserve">Su artículo 2 estipula: “El Fondo General de Participaciones se constituirá con el 20% de la recaudación federal participable que obtenga la </w:t>
      </w:r>
      <w:r w:rsidR="0027454E" w:rsidRPr="0050035B">
        <w:rPr>
          <w:rFonts w:ascii="Century Gothic" w:hAnsi="Century Gothic"/>
          <w:lang w:val="es-MX"/>
        </w:rPr>
        <w:t>F</w:t>
      </w:r>
      <w:r w:rsidRPr="0050035B">
        <w:rPr>
          <w:rFonts w:ascii="Century Gothic" w:hAnsi="Century Gothic"/>
          <w:lang w:val="es-MX"/>
        </w:rPr>
        <w:t>ederación</w:t>
      </w:r>
      <w:r w:rsidR="00065C78" w:rsidRPr="0050035B">
        <w:rPr>
          <w:rFonts w:ascii="Century Gothic" w:hAnsi="Century Gothic"/>
          <w:lang w:val="es-MX"/>
        </w:rPr>
        <w:t xml:space="preserve"> en un ejercicio</w:t>
      </w:r>
      <w:r w:rsidRPr="0050035B">
        <w:rPr>
          <w:rFonts w:ascii="Century Gothic" w:hAnsi="Century Gothic"/>
          <w:lang w:val="es-MX"/>
        </w:rPr>
        <w:t>”.</w:t>
      </w:r>
    </w:p>
    <w:p w:rsidR="00C610DB" w:rsidRPr="0050035B" w:rsidRDefault="00C610DB" w:rsidP="00C610DB">
      <w:pPr>
        <w:spacing w:line="360" w:lineRule="auto"/>
        <w:jc w:val="both"/>
        <w:rPr>
          <w:rFonts w:ascii="Century Gothic" w:hAnsi="Century Gothic"/>
          <w:lang w:val="es-MX"/>
        </w:rPr>
      </w:pPr>
    </w:p>
    <w:p w:rsidR="00C610DB" w:rsidRPr="0050035B" w:rsidRDefault="00C610DB" w:rsidP="00C610DB">
      <w:pPr>
        <w:spacing w:line="360" w:lineRule="auto"/>
        <w:jc w:val="both"/>
        <w:rPr>
          <w:rFonts w:ascii="Century Gothic" w:hAnsi="Century Gothic"/>
          <w:lang w:val="es-MX"/>
        </w:rPr>
      </w:pPr>
      <w:r w:rsidRPr="0050035B">
        <w:rPr>
          <w:rFonts w:ascii="Century Gothic" w:hAnsi="Century Gothic"/>
          <w:lang w:val="es-MX"/>
        </w:rPr>
        <w:tab/>
      </w:r>
      <w:r w:rsidR="00B97B10" w:rsidRPr="0050035B">
        <w:rPr>
          <w:rFonts w:ascii="Century Gothic" w:hAnsi="Century Gothic"/>
          <w:lang w:val="es-MX"/>
        </w:rPr>
        <w:t>De forma complementaria, e</w:t>
      </w:r>
      <w:r w:rsidRPr="0050035B">
        <w:rPr>
          <w:rFonts w:ascii="Century Gothic" w:hAnsi="Century Gothic"/>
          <w:lang w:val="es-MX"/>
        </w:rPr>
        <w:t>l artículo 6 especifica</w:t>
      </w:r>
      <w:r w:rsidR="0027454E" w:rsidRPr="0050035B">
        <w:rPr>
          <w:rFonts w:ascii="Century Gothic" w:hAnsi="Century Gothic"/>
          <w:lang w:val="es-MX"/>
        </w:rPr>
        <w:t xml:space="preserve"> que</w:t>
      </w:r>
      <w:r w:rsidRPr="0050035B">
        <w:rPr>
          <w:rFonts w:ascii="Century Gothic" w:hAnsi="Century Gothic"/>
          <w:lang w:val="es-MX"/>
        </w:rPr>
        <w:t xml:space="preserve">: “Las participaciones federales que recibirán los </w:t>
      </w:r>
      <w:r w:rsidR="00373DAB" w:rsidRPr="0050035B">
        <w:rPr>
          <w:rFonts w:ascii="Century Gothic" w:hAnsi="Century Gothic"/>
          <w:lang w:val="es-MX"/>
        </w:rPr>
        <w:t>Municipio</w:t>
      </w:r>
      <w:r w:rsidRPr="0050035B">
        <w:rPr>
          <w:rFonts w:ascii="Century Gothic" w:hAnsi="Century Gothic"/>
          <w:lang w:val="es-MX"/>
        </w:rPr>
        <w:t xml:space="preserve">s del total del Fondo General de Participaciones incluyendo sus incrementos, nunca serán inferiores al 20% de las cantidades que correspondan al </w:t>
      </w:r>
      <w:r w:rsidR="00373DAB" w:rsidRPr="0050035B">
        <w:rPr>
          <w:rFonts w:ascii="Century Gothic" w:hAnsi="Century Gothic"/>
          <w:lang w:val="es-MX"/>
        </w:rPr>
        <w:t>Estado</w:t>
      </w:r>
      <w:r w:rsidR="00D015D9" w:rsidRPr="0050035B">
        <w:rPr>
          <w:rFonts w:ascii="Century Gothic" w:hAnsi="Century Gothic"/>
          <w:lang w:val="es-MX"/>
        </w:rPr>
        <w:t>, el cual habrá de cubrírselas”.</w:t>
      </w:r>
      <w:r w:rsidRPr="0050035B">
        <w:rPr>
          <w:rFonts w:ascii="Century Gothic" w:hAnsi="Century Gothic"/>
          <w:lang w:val="es-MX"/>
        </w:rPr>
        <w:t xml:space="preserve"> </w:t>
      </w:r>
      <w:r w:rsidR="000A0D7B" w:rsidRPr="0050035B">
        <w:rPr>
          <w:rFonts w:ascii="Century Gothic" w:hAnsi="Century Gothic"/>
          <w:lang w:val="es-MX"/>
        </w:rPr>
        <w:t>“</w:t>
      </w:r>
      <w:r w:rsidRPr="0050035B">
        <w:rPr>
          <w:rFonts w:ascii="Century Gothic" w:hAnsi="Century Gothic"/>
          <w:lang w:val="es-MX"/>
        </w:rPr>
        <w:t xml:space="preserve">La Federación entregará las participaciones a los </w:t>
      </w:r>
      <w:r w:rsidR="00373DAB" w:rsidRPr="0050035B">
        <w:rPr>
          <w:rFonts w:ascii="Century Gothic" w:hAnsi="Century Gothic"/>
          <w:lang w:val="es-MX"/>
        </w:rPr>
        <w:t>Municipio</w:t>
      </w:r>
      <w:r w:rsidRPr="0050035B">
        <w:rPr>
          <w:rFonts w:ascii="Century Gothic" w:hAnsi="Century Gothic"/>
          <w:lang w:val="es-MX"/>
        </w:rPr>
        <w:t xml:space="preserve">s por conducto de los </w:t>
      </w:r>
      <w:r w:rsidR="00373DAB" w:rsidRPr="0050035B">
        <w:rPr>
          <w:rFonts w:ascii="Century Gothic" w:hAnsi="Century Gothic"/>
          <w:lang w:val="es-MX"/>
        </w:rPr>
        <w:t>Estado</w:t>
      </w:r>
      <w:r w:rsidRPr="0050035B">
        <w:rPr>
          <w:rFonts w:ascii="Century Gothic" w:hAnsi="Century Gothic"/>
          <w:lang w:val="es-MX"/>
        </w:rPr>
        <w:t xml:space="preserve">s; dentro de los cinco días siguientes a aquel en que el </w:t>
      </w:r>
      <w:r w:rsidR="00373DAB" w:rsidRPr="0050035B">
        <w:rPr>
          <w:rFonts w:ascii="Century Gothic" w:hAnsi="Century Gothic"/>
          <w:lang w:val="es-MX"/>
        </w:rPr>
        <w:t>Estado</w:t>
      </w:r>
      <w:r w:rsidRPr="0050035B">
        <w:rPr>
          <w:rFonts w:ascii="Century Gothic" w:hAnsi="Century Gothic"/>
          <w:lang w:val="es-MX"/>
        </w:rPr>
        <w:t xml:space="preserve"> las reciba; el retraso dará lugar al pago de intereses…</w:t>
      </w:r>
      <w:r w:rsidR="00D015D9" w:rsidRPr="0050035B">
        <w:rPr>
          <w:rFonts w:ascii="Century Gothic" w:hAnsi="Century Gothic"/>
          <w:lang w:val="es-MX"/>
        </w:rPr>
        <w:t>”. “</w:t>
      </w:r>
      <w:r w:rsidR="005A56D3" w:rsidRPr="0050035B">
        <w:rPr>
          <w:rFonts w:ascii="Century Gothic" w:hAnsi="Century Gothic"/>
          <w:lang w:val="es-MX"/>
        </w:rPr>
        <w:t>Las</w:t>
      </w:r>
      <w:r w:rsidRPr="0050035B">
        <w:rPr>
          <w:rFonts w:ascii="Century Gothic" w:hAnsi="Century Gothic"/>
          <w:lang w:val="es-MX"/>
        </w:rPr>
        <w:t xml:space="preserve"> participaciones serán cubiertas en efectivo…</w:t>
      </w:r>
      <w:r w:rsidR="000A0D7B" w:rsidRPr="0050035B">
        <w:rPr>
          <w:rFonts w:ascii="Century Gothic" w:hAnsi="Century Gothic"/>
          <w:lang w:val="es-MX"/>
        </w:rPr>
        <w:t>”.</w:t>
      </w:r>
      <w:r w:rsidR="003A6064" w:rsidRPr="0050035B">
        <w:rPr>
          <w:rFonts w:ascii="Century Gothic" w:hAnsi="Century Gothic"/>
          <w:lang w:val="es-MX"/>
        </w:rPr>
        <w:t xml:space="preserve"> </w:t>
      </w:r>
      <w:r w:rsidR="000A0D7B" w:rsidRPr="0050035B">
        <w:rPr>
          <w:rFonts w:ascii="Century Gothic" w:hAnsi="Century Gothic"/>
          <w:lang w:val="es-MX"/>
        </w:rPr>
        <w:t>“</w:t>
      </w:r>
      <w:r w:rsidRPr="0050035B">
        <w:rPr>
          <w:rFonts w:ascii="Century Gothic" w:hAnsi="Century Gothic"/>
          <w:lang w:val="es-MX"/>
        </w:rPr>
        <w:t xml:space="preserve">Los Gobiernos de las entidades, a más tardar el 15 de febrero, deberán publicar en su Periódico Oficial, así como en su página oficial de Internet el calendario de entrega, porcentaje, fórmulas y variables utilizadas, así como </w:t>
      </w:r>
      <w:r w:rsidRPr="0050035B">
        <w:rPr>
          <w:rFonts w:ascii="Century Gothic" w:hAnsi="Century Gothic"/>
          <w:lang w:val="es-MX"/>
        </w:rPr>
        <w:lastRenderedPageBreak/>
        <w:t xml:space="preserve">los montos estimados, de las participaciones que las entidades reciban y de las que tengan obligación de participar a sus </w:t>
      </w:r>
      <w:r w:rsidR="00373DAB" w:rsidRPr="0050035B">
        <w:rPr>
          <w:rFonts w:ascii="Century Gothic" w:hAnsi="Century Gothic"/>
          <w:lang w:val="es-MX"/>
        </w:rPr>
        <w:t>Municipio</w:t>
      </w:r>
      <w:r w:rsidRPr="0050035B">
        <w:rPr>
          <w:rFonts w:ascii="Century Gothic" w:hAnsi="Century Gothic"/>
          <w:lang w:val="es-MX"/>
        </w:rPr>
        <w:t>s</w:t>
      </w:r>
      <w:r w:rsidR="00D015D9" w:rsidRPr="0050035B">
        <w:rPr>
          <w:rFonts w:ascii="Century Gothic" w:hAnsi="Century Gothic"/>
          <w:lang w:val="es-MX"/>
        </w:rPr>
        <w:t xml:space="preserve"> o demarcaciones territoriales</w:t>
      </w:r>
      <w:r w:rsidRPr="0050035B">
        <w:rPr>
          <w:rFonts w:ascii="Century Gothic" w:hAnsi="Century Gothic"/>
          <w:lang w:val="es-MX"/>
        </w:rPr>
        <w:t>”</w:t>
      </w:r>
      <w:r w:rsidR="0072001A" w:rsidRPr="0050035B">
        <w:rPr>
          <w:rFonts w:ascii="Century Gothic" w:hAnsi="Century Gothic"/>
          <w:lang w:val="es-MX"/>
        </w:rPr>
        <w:t>.</w:t>
      </w:r>
    </w:p>
    <w:p w:rsidR="00C610DB" w:rsidRPr="0050035B" w:rsidRDefault="00C610DB" w:rsidP="00C610DB">
      <w:pPr>
        <w:spacing w:line="360" w:lineRule="auto"/>
        <w:jc w:val="both"/>
        <w:rPr>
          <w:rFonts w:ascii="Century Gothic" w:hAnsi="Century Gothic"/>
          <w:lang w:val="es-MX"/>
        </w:rPr>
      </w:pPr>
    </w:p>
    <w:p w:rsidR="00C610DB" w:rsidRPr="0050035B" w:rsidRDefault="00C610DB" w:rsidP="000A0D7B">
      <w:pPr>
        <w:spacing w:line="360" w:lineRule="auto"/>
        <w:ind w:firstLine="720"/>
        <w:jc w:val="both"/>
        <w:rPr>
          <w:rFonts w:ascii="Century Gothic" w:eastAsiaTheme="minorHAnsi" w:hAnsi="Century Gothic"/>
          <w:b/>
          <w:lang w:val="es-MX"/>
        </w:rPr>
      </w:pPr>
      <w:r w:rsidRPr="0050035B">
        <w:rPr>
          <w:rFonts w:ascii="Century Gothic" w:hAnsi="Century Gothic"/>
          <w:lang w:val="es-MX"/>
        </w:rPr>
        <w:t xml:space="preserve">El artículo 9 </w:t>
      </w:r>
      <w:r w:rsidR="0027454E" w:rsidRPr="0050035B">
        <w:rPr>
          <w:rFonts w:ascii="Century Gothic" w:hAnsi="Century Gothic"/>
          <w:lang w:val="es-MX"/>
        </w:rPr>
        <w:t>señala que</w:t>
      </w:r>
      <w:r w:rsidRPr="0050035B">
        <w:rPr>
          <w:rFonts w:ascii="Century Gothic" w:hAnsi="Century Gothic"/>
          <w:lang w:val="es-MX"/>
        </w:rPr>
        <w:t>: “Las participaciones</w:t>
      </w:r>
      <w:r w:rsidR="00D015D9" w:rsidRPr="0050035B">
        <w:rPr>
          <w:rFonts w:ascii="Century Gothic" w:hAnsi="Century Gothic"/>
          <w:lang w:val="es-MX"/>
        </w:rPr>
        <w:t xml:space="preserve"> que correspondan a las Entidades y los Municipios</w:t>
      </w:r>
      <w:r w:rsidRPr="0050035B">
        <w:rPr>
          <w:rFonts w:ascii="Century Gothic" w:hAnsi="Century Gothic"/>
          <w:lang w:val="es-MX"/>
        </w:rPr>
        <w:t xml:space="preserve"> son inembargables; no pueden afectarse a fines específicos, ni estar sujetas a retención</w:t>
      </w:r>
      <w:r w:rsidR="000A0D7B" w:rsidRPr="0050035B">
        <w:rPr>
          <w:rFonts w:ascii="Century Gothic" w:hAnsi="Century Gothic"/>
          <w:lang w:val="es-MX"/>
        </w:rPr>
        <w:t>,</w:t>
      </w:r>
      <w:r w:rsidRPr="0050035B">
        <w:rPr>
          <w:rFonts w:ascii="Century Gothic" w:hAnsi="Century Gothic"/>
          <w:lang w:val="es-MX"/>
        </w:rPr>
        <w:t xml:space="preserve"> </w:t>
      </w:r>
      <w:r w:rsidR="000A0D7B" w:rsidRPr="0050035B">
        <w:rPr>
          <w:rFonts w:ascii="Century Gothic" w:hAnsi="Century Gothic"/>
          <w:lang w:val="es-MX"/>
        </w:rPr>
        <w:t>salvo aquéllas correspondientes al Fondo General de Participaciones, al Fondo de Fomento Municipal y a los recursos a los que se refiere el artículo 4-A, fracción I, de la presente Ley, que podrán ser afectadas en garantía, como fuente de pago de obligaciones contraídas por las Entidades o los Municipios, o afectadas en ambas modalidades, con autorización de las legislaturas locales e inscritas en el Registro Público Único, de conformidad con el Capítulo VI del Título Tercero de la Ley de Disciplina Financiera de las Entidades Federativas y los Municipios, a favor de la Federación, de las instituciones de Crédito que operen en territorio nacional, así como de las personas físicas o morales de nacionalidad mexicana”.</w:t>
      </w:r>
      <w:r w:rsidR="000A0D7B" w:rsidRPr="0050035B">
        <w:rPr>
          <w:rFonts w:ascii="Century Gothic" w:hAnsi="Century Gothic"/>
          <w:lang w:val="es-MX"/>
        </w:rPr>
        <w:cr/>
      </w:r>
    </w:p>
    <w:p w:rsidR="00C610DB" w:rsidRPr="0050035B" w:rsidRDefault="00B33477" w:rsidP="00C610DB">
      <w:pPr>
        <w:spacing w:line="360" w:lineRule="auto"/>
        <w:ind w:firstLine="720"/>
        <w:jc w:val="both"/>
        <w:rPr>
          <w:rFonts w:ascii="Century Gothic" w:hAnsi="Century Gothic"/>
          <w:lang w:val="es-MX"/>
        </w:rPr>
      </w:pPr>
      <w:r w:rsidRPr="0050035B">
        <w:rPr>
          <w:rFonts w:ascii="Century Gothic" w:hAnsi="Century Gothic"/>
          <w:lang w:val="es-MX"/>
        </w:rPr>
        <w:t>Por otro lado, e</w:t>
      </w:r>
      <w:r w:rsidR="00C610DB" w:rsidRPr="0050035B">
        <w:rPr>
          <w:rFonts w:ascii="Century Gothic" w:hAnsi="Century Gothic"/>
          <w:lang w:val="es-MX"/>
        </w:rPr>
        <w:t xml:space="preserve">l artículo 25 menciona que: “… se establecen las aportaciones federales, como recursos que la Federación transfiere a las haciendas públicas de los </w:t>
      </w:r>
      <w:r w:rsidR="00373DAB" w:rsidRPr="0050035B">
        <w:rPr>
          <w:rFonts w:ascii="Century Gothic" w:hAnsi="Century Gothic"/>
          <w:lang w:val="es-MX"/>
        </w:rPr>
        <w:t>Estado</w:t>
      </w:r>
      <w:r w:rsidR="00C610DB" w:rsidRPr="0050035B">
        <w:rPr>
          <w:rFonts w:ascii="Century Gothic" w:hAnsi="Century Gothic"/>
          <w:lang w:val="es-MX"/>
        </w:rPr>
        <w:t xml:space="preserve">s, Distrito Federal, y en su caso, de los </w:t>
      </w:r>
      <w:r w:rsidR="00373DAB" w:rsidRPr="0050035B">
        <w:rPr>
          <w:rFonts w:ascii="Century Gothic" w:hAnsi="Century Gothic"/>
          <w:lang w:val="es-MX"/>
        </w:rPr>
        <w:t>Municipio</w:t>
      </w:r>
      <w:r w:rsidR="00C610DB" w:rsidRPr="0050035B">
        <w:rPr>
          <w:rFonts w:ascii="Century Gothic" w:hAnsi="Century Gothic"/>
          <w:lang w:val="es-MX"/>
        </w:rPr>
        <w:t>s, condicionando su gasto a la consecución y cumplimiento de los objetivos que para cada tipo de aportación establece esta Ley…”.</w:t>
      </w:r>
    </w:p>
    <w:p w:rsidR="00C610DB" w:rsidRPr="0050035B" w:rsidRDefault="00C610DB" w:rsidP="00C610DB">
      <w:pPr>
        <w:spacing w:line="360" w:lineRule="auto"/>
        <w:jc w:val="both"/>
        <w:rPr>
          <w:rFonts w:ascii="Century Gothic" w:hAnsi="Century Gothic"/>
          <w:lang w:val="es-MX"/>
        </w:rPr>
      </w:pPr>
    </w:p>
    <w:p w:rsidR="004229C5" w:rsidRPr="0050035B" w:rsidRDefault="00C610DB" w:rsidP="000A0D7B">
      <w:pPr>
        <w:spacing w:line="360" w:lineRule="auto"/>
        <w:ind w:firstLine="720"/>
        <w:jc w:val="both"/>
        <w:rPr>
          <w:rFonts w:ascii="Century Gothic" w:eastAsiaTheme="minorHAnsi" w:hAnsi="Century Gothic"/>
          <w:lang w:val="es-MX"/>
        </w:rPr>
      </w:pPr>
      <w:r w:rsidRPr="0050035B">
        <w:rPr>
          <w:rFonts w:ascii="Century Gothic" w:hAnsi="Century Gothic"/>
          <w:lang w:val="es-MX"/>
        </w:rPr>
        <w:t xml:space="preserve">De forma complementaria, respecto a las aportaciones el </w:t>
      </w:r>
      <w:r w:rsidR="003A2752" w:rsidRPr="0050035B">
        <w:rPr>
          <w:rFonts w:ascii="Century Gothic" w:hAnsi="Century Gothic"/>
          <w:lang w:val="es-MX"/>
        </w:rPr>
        <w:t>artículo</w:t>
      </w:r>
      <w:r w:rsidRPr="0050035B">
        <w:rPr>
          <w:rFonts w:ascii="Century Gothic" w:hAnsi="Century Gothic"/>
          <w:lang w:val="es-MX"/>
        </w:rPr>
        <w:t xml:space="preserve"> 49 nos indica:</w:t>
      </w:r>
      <w:r w:rsidRPr="0050035B">
        <w:rPr>
          <w:rFonts w:ascii="Century Gothic" w:eastAsiaTheme="minorHAnsi" w:hAnsi="Century Gothic"/>
          <w:lang w:val="es-MX"/>
        </w:rPr>
        <w:t xml:space="preserve"> “… Las aportaciones y sus accesorios… no serán embargables, ni los gobiernos correspondientes podrán, bajo n</w:t>
      </w:r>
      <w:r w:rsidR="00A44837" w:rsidRPr="0050035B">
        <w:rPr>
          <w:rFonts w:ascii="Century Gothic" w:eastAsiaTheme="minorHAnsi" w:hAnsi="Century Gothic"/>
          <w:lang w:val="es-MX"/>
        </w:rPr>
        <w:t xml:space="preserve">inguna circunstancia, gravarlas, </w:t>
      </w:r>
      <w:r w:rsidRPr="0050035B">
        <w:rPr>
          <w:rFonts w:ascii="Century Gothic" w:eastAsiaTheme="minorHAnsi" w:hAnsi="Century Gothic"/>
          <w:lang w:val="es-MX"/>
        </w:rPr>
        <w:t xml:space="preserve">ni afectarlas en garantía o destinarse a mecanismos de fuente de </w:t>
      </w:r>
      <w:r w:rsidRPr="0050035B">
        <w:rPr>
          <w:rFonts w:ascii="Century Gothic" w:eastAsiaTheme="minorHAnsi" w:hAnsi="Century Gothic"/>
          <w:lang w:val="es-MX"/>
        </w:rPr>
        <w:lastRenderedPageBreak/>
        <w:t>pago</w:t>
      </w:r>
      <w:r w:rsidR="000A0D7B" w:rsidRPr="0050035B">
        <w:rPr>
          <w:rFonts w:ascii="Century Gothic" w:eastAsiaTheme="minorHAnsi" w:hAnsi="Century Gothic"/>
          <w:lang w:val="es-MX"/>
        </w:rPr>
        <w:t xml:space="preserve"> salvo por lo dispuesto en los artículos 50, 51 y 52 de esta Ley. Dichas aportaciones y sus accesorios, en ningún caso podrán destinarse a fines distintos a los expresamente previstos en los artículos 26, 29, 33, 37, 40, 42, 45, 47, así como lo dispuesto en el</w:t>
      </w:r>
      <w:r w:rsidR="00835C5B" w:rsidRPr="0050035B">
        <w:rPr>
          <w:rFonts w:ascii="Century Gothic" w:eastAsiaTheme="minorHAnsi" w:hAnsi="Century Gothic"/>
          <w:lang w:val="es-MX"/>
        </w:rPr>
        <w:t xml:space="preserve"> presente artículo de esta Ley”</w:t>
      </w:r>
      <w:r w:rsidRPr="0050035B">
        <w:rPr>
          <w:rFonts w:ascii="Century Gothic" w:eastAsiaTheme="minorHAnsi" w:hAnsi="Century Gothic"/>
          <w:lang w:val="es-MX"/>
        </w:rPr>
        <w:t xml:space="preserve">. </w:t>
      </w:r>
    </w:p>
    <w:p w:rsidR="00A74A25" w:rsidRPr="0050035B" w:rsidRDefault="00A74A25" w:rsidP="000A0D7B">
      <w:pPr>
        <w:spacing w:line="360" w:lineRule="auto"/>
        <w:ind w:firstLine="720"/>
        <w:jc w:val="both"/>
        <w:rPr>
          <w:rFonts w:ascii="Century Gothic" w:eastAsiaTheme="minorHAnsi" w:hAnsi="Century Gothic"/>
          <w:lang w:val="es-MX"/>
        </w:rPr>
      </w:pPr>
    </w:p>
    <w:p w:rsidR="00A74A25" w:rsidRPr="0050035B" w:rsidRDefault="00197F92" w:rsidP="00664BE7">
      <w:pPr>
        <w:spacing w:line="360" w:lineRule="auto"/>
        <w:ind w:firstLine="720"/>
        <w:jc w:val="both"/>
        <w:rPr>
          <w:rFonts w:ascii="Century Gothic" w:eastAsiaTheme="minorHAnsi" w:hAnsi="Century Gothic"/>
          <w:lang w:val="es-MX"/>
        </w:rPr>
      </w:pPr>
      <w:r w:rsidRPr="0050035B">
        <w:rPr>
          <w:rFonts w:ascii="Century Gothic" w:eastAsiaTheme="minorHAnsi" w:hAnsi="Century Gothic"/>
          <w:lang w:val="es-MX"/>
        </w:rPr>
        <w:t>El artí</w:t>
      </w:r>
      <w:r w:rsidR="00A74A25" w:rsidRPr="0050035B">
        <w:rPr>
          <w:rFonts w:ascii="Century Gothic" w:eastAsiaTheme="minorHAnsi" w:hAnsi="Century Gothic"/>
          <w:lang w:val="es-MX"/>
        </w:rPr>
        <w:t>culo 50 estipula que</w:t>
      </w:r>
      <w:r w:rsidR="009223C3">
        <w:rPr>
          <w:rFonts w:ascii="Century Gothic" w:eastAsiaTheme="minorHAnsi" w:hAnsi="Century Gothic"/>
          <w:lang w:val="es-MX"/>
        </w:rPr>
        <w:t>:</w:t>
      </w:r>
      <w:r w:rsidR="00A74A25" w:rsidRPr="0050035B">
        <w:rPr>
          <w:rFonts w:ascii="Century Gothic" w:eastAsiaTheme="minorHAnsi" w:hAnsi="Century Gothic"/>
          <w:lang w:val="es-MX"/>
        </w:rPr>
        <w:t xml:space="preserve"> “Las aportaciones que con cargo a los Fondos a que se refiere el artículo 25, en sus fracciones III y VIII, de esta Ley correspondan a las Entidades Federativas o Municipios, podrán afectarse para garantizar obligaciones en caso de incumplimiento, o servir como fuente de pago de dichas obligaciones que contraigan con la Federación, las instituciones de crédito que operen en territorio nacional o con personas físicas o morales de nacionalidad mexicana, siempre que cuenten con autorización de las legislaturas locales y se inscriban a petición de las Entidades Federativas o los Municipios, según corresponda, ante la Secretaría de</w:t>
      </w:r>
      <w:r w:rsidR="00664BE7" w:rsidRPr="0050035B">
        <w:rPr>
          <w:rFonts w:ascii="Century Gothic" w:eastAsiaTheme="minorHAnsi" w:hAnsi="Century Gothic"/>
          <w:lang w:val="es-MX"/>
        </w:rPr>
        <w:t xml:space="preserve"> Hacienda y Crédito Público…”. </w:t>
      </w:r>
      <w:r w:rsidR="00A74A25" w:rsidRPr="0050035B">
        <w:rPr>
          <w:rFonts w:ascii="Century Gothic" w:eastAsiaTheme="minorHAnsi" w:hAnsi="Century Gothic"/>
          <w:lang w:val="es-MX"/>
        </w:rPr>
        <w:t>En este sentido, en su párrafo tercero señala que los municipios “…no podrán destinar más del 25% de los recursos que anualmente les correspondan por concepto de los fondos a que se refiere el párrafo anterior, para servir dichas obligaciones”.</w:t>
      </w:r>
    </w:p>
    <w:p w:rsidR="00931B0D" w:rsidRPr="0050035B" w:rsidRDefault="00931B0D" w:rsidP="00C610DB">
      <w:pPr>
        <w:spacing w:line="360" w:lineRule="auto"/>
        <w:jc w:val="both"/>
        <w:rPr>
          <w:rFonts w:ascii="Century Gothic" w:eastAsiaTheme="minorHAnsi" w:hAnsi="Century Gothic"/>
          <w:b/>
          <w:lang w:val="es-MX"/>
        </w:rPr>
      </w:pPr>
    </w:p>
    <w:p w:rsidR="00C610DB" w:rsidRPr="0050035B" w:rsidRDefault="00CF13F6" w:rsidP="00C610DB">
      <w:pPr>
        <w:spacing w:line="360" w:lineRule="auto"/>
        <w:jc w:val="both"/>
        <w:rPr>
          <w:rFonts w:ascii="Century Gothic" w:eastAsiaTheme="minorHAnsi" w:hAnsi="Century Gothic"/>
          <w:b/>
          <w:lang w:val="es-MX"/>
        </w:rPr>
      </w:pPr>
      <w:r w:rsidRPr="0050035B">
        <w:rPr>
          <w:rFonts w:ascii="Century Gothic" w:eastAsiaTheme="minorHAnsi" w:hAnsi="Century Gothic"/>
          <w:b/>
          <w:lang w:val="es-MX"/>
        </w:rPr>
        <w:t>1.</w:t>
      </w:r>
      <w:r w:rsidR="008B37F4" w:rsidRPr="0050035B">
        <w:rPr>
          <w:rFonts w:ascii="Century Gothic" w:eastAsiaTheme="minorHAnsi" w:hAnsi="Century Gothic"/>
          <w:b/>
          <w:lang w:val="es-MX"/>
        </w:rPr>
        <w:t>2.3</w:t>
      </w:r>
      <w:r w:rsidR="00C610DB" w:rsidRPr="0050035B">
        <w:rPr>
          <w:rFonts w:ascii="Century Gothic" w:eastAsiaTheme="minorHAnsi" w:hAnsi="Century Gothic"/>
          <w:b/>
          <w:lang w:val="es-MX"/>
        </w:rPr>
        <w:t xml:space="preserve">. Ley de Disciplina Financiera </w:t>
      </w:r>
      <w:r w:rsidR="003D0310" w:rsidRPr="0050035B">
        <w:rPr>
          <w:rFonts w:ascii="Century Gothic" w:eastAsiaTheme="minorHAnsi" w:hAnsi="Century Gothic"/>
          <w:b/>
          <w:lang w:val="es-MX"/>
        </w:rPr>
        <w:t>de</w:t>
      </w:r>
      <w:r w:rsidR="00C610DB" w:rsidRPr="0050035B">
        <w:rPr>
          <w:rFonts w:ascii="Century Gothic" w:eastAsiaTheme="minorHAnsi" w:hAnsi="Century Gothic"/>
          <w:b/>
          <w:lang w:val="es-MX"/>
        </w:rPr>
        <w:t xml:space="preserve"> las Entidades Federativas y los </w:t>
      </w:r>
      <w:r w:rsidR="00373DAB" w:rsidRPr="0050035B">
        <w:rPr>
          <w:rFonts w:ascii="Century Gothic" w:eastAsiaTheme="minorHAnsi" w:hAnsi="Century Gothic"/>
          <w:b/>
          <w:lang w:val="es-MX"/>
        </w:rPr>
        <w:t>Municipio</w:t>
      </w:r>
      <w:r w:rsidR="00C610DB" w:rsidRPr="0050035B">
        <w:rPr>
          <w:rFonts w:ascii="Century Gothic" w:eastAsiaTheme="minorHAnsi" w:hAnsi="Century Gothic"/>
          <w:b/>
          <w:lang w:val="es-MX"/>
        </w:rPr>
        <w:t>s</w:t>
      </w:r>
    </w:p>
    <w:p w:rsidR="00C235C8" w:rsidRPr="0050035B" w:rsidRDefault="00C610DB" w:rsidP="00DD4D8A">
      <w:pPr>
        <w:spacing w:line="360" w:lineRule="auto"/>
        <w:jc w:val="both"/>
        <w:rPr>
          <w:rFonts w:ascii="Century Gothic" w:eastAsiaTheme="minorHAnsi" w:hAnsi="Century Gothic"/>
          <w:lang w:val="es-MX"/>
        </w:rPr>
      </w:pPr>
      <w:r w:rsidRPr="0050035B">
        <w:rPr>
          <w:rFonts w:ascii="Century Gothic" w:eastAsiaTheme="minorHAnsi" w:hAnsi="Century Gothic"/>
          <w:lang w:val="es-MX"/>
        </w:rPr>
        <w:t>Este cuerpo norma</w:t>
      </w:r>
      <w:r w:rsidR="00A44837" w:rsidRPr="0050035B">
        <w:rPr>
          <w:rFonts w:ascii="Century Gothic" w:eastAsiaTheme="minorHAnsi" w:hAnsi="Century Gothic"/>
          <w:lang w:val="es-MX"/>
        </w:rPr>
        <w:t>tivo</w:t>
      </w:r>
      <w:r w:rsidR="0027454E" w:rsidRPr="0050035B">
        <w:rPr>
          <w:rFonts w:ascii="Century Gothic" w:eastAsiaTheme="minorHAnsi" w:hAnsi="Century Gothic"/>
          <w:lang w:val="es-MX"/>
        </w:rPr>
        <w:t xml:space="preserve"> </w:t>
      </w:r>
      <w:r w:rsidR="00A44837" w:rsidRPr="0050035B">
        <w:rPr>
          <w:rFonts w:ascii="Century Gothic" w:eastAsiaTheme="minorHAnsi" w:hAnsi="Century Gothic"/>
          <w:lang w:val="es-MX"/>
        </w:rPr>
        <w:t>contempla en su artículo 8</w:t>
      </w:r>
      <w:r w:rsidRPr="0050035B">
        <w:rPr>
          <w:rFonts w:ascii="Century Gothic" w:eastAsiaTheme="minorHAnsi" w:hAnsi="Century Gothic"/>
          <w:lang w:val="es-MX"/>
        </w:rPr>
        <w:t xml:space="preserve"> que</w:t>
      </w:r>
      <w:r w:rsidR="00A44837" w:rsidRPr="0050035B">
        <w:rPr>
          <w:rFonts w:ascii="Century Gothic" w:eastAsiaTheme="minorHAnsi" w:hAnsi="Century Gothic"/>
          <w:lang w:val="es-MX"/>
        </w:rPr>
        <w:t>:</w:t>
      </w:r>
      <w:r w:rsidRPr="0050035B">
        <w:rPr>
          <w:rFonts w:ascii="Century Gothic" w:eastAsiaTheme="minorHAnsi" w:hAnsi="Century Gothic"/>
          <w:lang w:val="es-MX"/>
        </w:rPr>
        <w:t xml:space="preserve"> “T</w:t>
      </w:r>
      <w:r w:rsidR="00D015D9" w:rsidRPr="0050035B">
        <w:rPr>
          <w:rFonts w:ascii="Century Gothic" w:eastAsiaTheme="minorHAnsi" w:hAnsi="Century Gothic"/>
          <w:lang w:val="es-MX"/>
        </w:rPr>
        <w:t xml:space="preserve">odo aumento o creación de gasto del Presupuesto de Egresos </w:t>
      </w:r>
      <w:r w:rsidRPr="0050035B">
        <w:rPr>
          <w:rFonts w:ascii="Century Gothic" w:eastAsiaTheme="minorHAnsi" w:hAnsi="Century Gothic"/>
          <w:lang w:val="es-MX"/>
        </w:rPr>
        <w:t xml:space="preserve">deberá acompañarse con la correspondiente iniciativa de ingreso o compensarse con reducciones a otras provisiones de gasto”. </w:t>
      </w:r>
    </w:p>
    <w:p w:rsidR="00C235C8" w:rsidRPr="0050035B" w:rsidRDefault="00C235C8" w:rsidP="00DD4D8A">
      <w:pPr>
        <w:spacing w:line="360" w:lineRule="auto"/>
        <w:jc w:val="both"/>
        <w:rPr>
          <w:rFonts w:ascii="Century Gothic" w:eastAsiaTheme="minorHAnsi" w:hAnsi="Century Gothic"/>
          <w:lang w:val="es-MX"/>
        </w:rPr>
      </w:pPr>
    </w:p>
    <w:p w:rsidR="00D015D9" w:rsidRPr="0050035B" w:rsidRDefault="00C610DB" w:rsidP="00C235C8">
      <w:pPr>
        <w:spacing w:line="360" w:lineRule="auto"/>
        <w:ind w:firstLine="720"/>
        <w:jc w:val="both"/>
        <w:rPr>
          <w:rFonts w:ascii="Century Gothic" w:hAnsi="Century Gothic"/>
          <w:lang w:val="es-MX"/>
        </w:rPr>
      </w:pPr>
      <w:r w:rsidRPr="0050035B">
        <w:rPr>
          <w:rFonts w:ascii="Century Gothic" w:hAnsi="Century Gothic"/>
          <w:lang w:val="es-MX"/>
        </w:rPr>
        <w:lastRenderedPageBreak/>
        <w:t xml:space="preserve">El </w:t>
      </w:r>
      <w:r w:rsidR="00E852F3" w:rsidRPr="0050035B">
        <w:rPr>
          <w:rFonts w:ascii="Century Gothic" w:hAnsi="Century Gothic"/>
          <w:lang w:val="es-MX"/>
        </w:rPr>
        <w:t>artículo</w:t>
      </w:r>
      <w:r w:rsidRPr="0050035B">
        <w:rPr>
          <w:rFonts w:ascii="Century Gothic" w:hAnsi="Century Gothic"/>
          <w:lang w:val="es-MX"/>
        </w:rPr>
        <w:t xml:space="preserve"> 14 </w:t>
      </w:r>
      <w:r w:rsidR="00EC4990" w:rsidRPr="0050035B">
        <w:rPr>
          <w:rFonts w:ascii="Century Gothic" w:hAnsi="Century Gothic"/>
          <w:lang w:val="es-MX"/>
        </w:rPr>
        <w:t>complementa</w:t>
      </w:r>
      <w:r w:rsidR="009223C3">
        <w:rPr>
          <w:rFonts w:ascii="Century Gothic" w:hAnsi="Century Gothic"/>
          <w:lang w:val="es-MX"/>
        </w:rPr>
        <w:t xml:space="preserve"> señalando que</w:t>
      </w:r>
      <w:r w:rsidR="00B96A94" w:rsidRPr="0050035B">
        <w:rPr>
          <w:rFonts w:ascii="Century Gothic" w:hAnsi="Century Gothic"/>
          <w:lang w:val="es-MX"/>
        </w:rPr>
        <w:t xml:space="preserve"> “Los Ingresos excedentes derivados de Ingresos de libre disposición de las Entidades Federativas, deberán ser destinados a los siguientes conceptos:</w:t>
      </w:r>
      <w:r w:rsidR="00DD4D8A" w:rsidRPr="0050035B">
        <w:rPr>
          <w:rFonts w:ascii="Century Gothic" w:hAnsi="Century Gothic"/>
          <w:lang w:val="es-MX"/>
        </w:rPr>
        <w:t xml:space="preserve"> </w:t>
      </w:r>
    </w:p>
    <w:p w:rsidR="00D015D9" w:rsidRPr="0050035B" w:rsidRDefault="00D015D9" w:rsidP="00DB2B60">
      <w:pPr>
        <w:pStyle w:val="Prrafodelista"/>
        <w:numPr>
          <w:ilvl w:val="0"/>
          <w:numId w:val="7"/>
        </w:numPr>
        <w:spacing w:line="360" w:lineRule="auto"/>
        <w:ind w:left="567" w:hanging="283"/>
        <w:jc w:val="both"/>
        <w:rPr>
          <w:rFonts w:ascii="Century Gothic" w:hAnsi="Century Gothic"/>
          <w:lang w:val="es-MX"/>
        </w:rPr>
      </w:pPr>
      <w:r w:rsidRPr="0050035B">
        <w:rPr>
          <w:rFonts w:ascii="Century Gothic" w:hAnsi="Century Gothic"/>
          <w:lang w:val="es-MX"/>
        </w:rPr>
        <w:t>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 fondos para la atención de desastres naturales y de pensiones, conforme a lo siguiente:</w:t>
      </w:r>
    </w:p>
    <w:p w:rsidR="00D015D9" w:rsidRPr="0050035B" w:rsidRDefault="00D015D9" w:rsidP="00F2312B">
      <w:pPr>
        <w:pStyle w:val="Prrafodelista"/>
        <w:numPr>
          <w:ilvl w:val="1"/>
          <w:numId w:val="15"/>
        </w:numPr>
        <w:spacing w:line="360" w:lineRule="auto"/>
        <w:ind w:left="993" w:hanging="284"/>
        <w:jc w:val="both"/>
        <w:rPr>
          <w:rFonts w:ascii="Century Gothic" w:hAnsi="Century Gothic"/>
          <w:lang w:val="es-MX"/>
        </w:rPr>
      </w:pPr>
      <w:r w:rsidRPr="0050035B">
        <w:rPr>
          <w:rFonts w:ascii="Century Gothic" w:hAnsi="Century Gothic"/>
          <w:lang w:val="es-MX"/>
        </w:rPr>
        <w:t xml:space="preserve">Cuando la Entidad Federativa se clasifique en un nivel de endeudamiento elevado, de acuerdo al Sistema de Alertas, cuando menos el 50 por ciento; </w:t>
      </w:r>
    </w:p>
    <w:p w:rsidR="00884888" w:rsidRPr="0050035B" w:rsidRDefault="00D015D9" w:rsidP="00F2312B">
      <w:pPr>
        <w:pStyle w:val="Prrafodelista"/>
        <w:numPr>
          <w:ilvl w:val="1"/>
          <w:numId w:val="15"/>
        </w:numPr>
        <w:spacing w:line="360" w:lineRule="auto"/>
        <w:ind w:left="993" w:hanging="284"/>
        <w:jc w:val="both"/>
        <w:rPr>
          <w:rFonts w:ascii="Century Gothic" w:hAnsi="Century Gothic"/>
          <w:lang w:val="es-MX"/>
        </w:rPr>
      </w:pPr>
      <w:r w:rsidRPr="0050035B">
        <w:rPr>
          <w:rFonts w:ascii="Century Gothic" w:hAnsi="Century Gothic"/>
          <w:lang w:val="es-MX"/>
        </w:rPr>
        <w:t>Cuando la Entidad Federativa se clasifique en un nivel de endeudamiento en observación, de acuerdo al Sistema de Alertas, cuando menos el 30 por ciento, y</w:t>
      </w:r>
    </w:p>
    <w:p w:rsidR="00B96A94" w:rsidRPr="0050035B" w:rsidRDefault="00B96A94" w:rsidP="00DB2B60">
      <w:pPr>
        <w:pStyle w:val="Prrafodelista"/>
        <w:numPr>
          <w:ilvl w:val="0"/>
          <w:numId w:val="7"/>
        </w:numPr>
        <w:spacing w:line="360" w:lineRule="auto"/>
        <w:ind w:left="567" w:hanging="283"/>
        <w:jc w:val="both"/>
        <w:rPr>
          <w:rFonts w:ascii="Century Gothic" w:hAnsi="Century Gothic"/>
          <w:lang w:val="es-MX"/>
        </w:rPr>
      </w:pPr>
      <w:r w:rsidRPr="0050035B">
        <w:rPr>
          <w:rFonts w:ascii="Century Gothic" w:hAnsi="Century Gothic"/>
          <w:lang w:val="es-MX"/>
        </w:rPr>
        <w:t>En su caso, el remanente para:</w:t>
      </w:r>
    </w:p>
    <w:p w:rsidR="00B96A94" w:rsidRPr="0050035B" w:rsidRDefault="00B96A94" w:rsidP="00DB2B60">
      <w:pPr>
        <w:spacing w:line="360" w:lineRule="auto"/>
        <w:ind w:left="851" w:hanging="142"/>
        <w:jc w:val="both"/>
        <w:rPr>
          <w:rFonts w:ascii="Century Gothic" w:hAnsi="Century Gothic"/>
          <w:lang w:val="es-MX"/>
        </w:rPr>
      </w:pPr>
      <w:r w:rsidRPr="0050035B">
        <w:rPr>
          <w:rFonts w:ascii="Century Gothic" w:hAnsi="Century Gothic"/>
          <w:lang w:val="es-MX"/>
        </w:rPr>
        <w:t>a) Inversión pública productiva, a través de un fondo que se constituya para tal efecto, con el fin de que los recursos correspondientes se ejerzan a más tardar en el ejercicio inmediato siguiente, y</w:t>
      </w:r>
    </w:p>
    <w:p w:rsidR="00B96A94" w:rsidRPr="0050035B" w:rsidRDefault="00B96A94" w:rsidP="00DB2B60">
      <w:pPr>
        <w:spacing w:line="360" w:lineRule="auto"/>
        <w:ind w:left="851" w:hanging="142"/>
        <w:jc w:val="both"/>
        <w:rPr>
          <w:rFonts w:ascii="Century Gothic" w:hAnsi="Century Gothic"/>
          <w:lang w:val="es-MX"/>
        </w:rPr>
      </w:pPr>
      <w:r w:rsidRPr="0050035B">
        <w:rPr>
          <w:rFonts w:ascii="Century Gothic" w:hAnsi="Century Gothic"/>
          <w:lang w:val="es-MX"/>
        </w:rPr>
        <w:t>b) La creación de un fondo cuyo objetivo sea compensar la caída de Ingresos de libre disposición de ejercicios subsecuentes.</w:t>
      </w:r>
    </w:p>
    <w:p w:rsidR="00B96A94" w:rsidRPr="0050035B" w:rsidRDefault="00B96A94" w:rsidP="00B96A94">
      <w:pPr>
        <w:spacing w:line="360" w:lineRule="auto"/>
        <w:jc w:val="both"/>
        <w:rPr>
          <w:rFonts w:ascii="Century Gothic" w:hAnsi="Century Gothic"/>
          <w:lang w:val="es-MX"/>
        </w:rPr>
      </w:pPr>
    </w:p>
    <w:p w:rsidR="00B96A94" w:rsidRDefault="00B96A94" w:rsidP="00C235C8">
      <w:pPr>
        <w:spacing w:line="360" w:lineRule="auto"/>
        <w:ind w:firstLine="720"/>
        <w:jc w:val="both"/>
        <w:rPr>
          <w:rFonts w:ascii="Century Gothic" w:hAnsi="Century Gothic"/>
          <w:lang w:val="es-MX"/>
        </w:rPr>
      </w:pPr>
      <w:r w:rsidRPr="0050035B">
        <w:rPr>
          <w:rFonts w:ascii="Century Gothic" w:hAnsi="Century Gothic"/>
          <w:lang w:val="es-MX"/>
        </w:rPr>
        <w:t xml:space="preserve">Los Ingresos excedentes derivados de Ingresos de libre disposición de las Entidades Federativas podrán destinarse a los rubros mencionados en el presente artículo, sin limitación alguna, siempre y cuando la Entidad </w:t>
      </w:r>
      <w:r w:rsidRPr="0050035B">
        <w:rPr>
          <w:rFonts w:ascii="Century Gothic" w:hAnsi="Century Gothic"/>
          <w:lang w:val="es-MX"/>
        </w:rPr>
        <w:lastRenderedPageBreak/>
        <w:t>Federativa se clasifique en un nivel de endeudamiento sostenible de acue</w:t>
      </w:r>
      <w:r w:rsidR="00D651D4" w:rsidRPr="0050035B">
        <w:rPr>
          <w:rFonts w:ascii="Century Gothic" w:hAnsi="Century Gothic"/>
          <w:lang w:val="es-MX"/>
        </w:rPr>
        <w:t>rdo con el Sistema de Alertas”. Adicionalmente señala que, “cuando la Entidad Federativa se clasifique en un nivel de endeudamiento sostenible de acuerdo al Sistema de Ale</w:t>
      </w:r>
      <w:r w:rsidR="009223C3">
        <w:rPr>
          <w:rFonts w:ascii="Century Gothic" w:hAnsi="Century Gothic"/>
          <w:lang w:val="es-MX"/>
        </w:rPr>
        <w:t xml:space="preserve">rtas, podrá utilizar hasta un 5% </w:t>
      </w:r>
      <w:r w:rsidR="00D651D4" w:rsidRPr="0050035B">
        <w:rPr>
          <w:rFonts w:ascii="Century Gothic" w:hAnsi="Century Gothic"/>
          <w:lang w:val="es-MX"/>
        </w:rPr>
        <w:t xml:space="preserve">de los recursos a los que se refiere el presente artículo para cubrir </w:t>
      </w:r>
      <w:r w:rsidR="00B75140">
        <w:rPr>
          <w:rFonts w:ascii="Century Gothic" w:hAnsi="Century Gothic"/>
          <w:lang w:val="es-MX"/>
        </w:rPr>
        <w:t>g</w:t>
      </w:r>
      <w:r w:rsidR="00D651D4" w:rsidRPr="0050035B">
        <w:rPr>
          <w:rFonts w:ascii="Century Gothic" w:hAnsi="Century Gothic"/>
          <w:lang w:val="es-MX"/>
        </w:rPr>
        <w:t>asto corriente. Tratándose de Ingresos de libre disposición que se encuentren destinados a un fin específico en términos de las leyes, no resultarán aplicables las disposiciones establecidas en el presente artículo”.</w:t>
      </w:r>
    </w:p>
    <w:p w:rsidR="00B75140" w:rsidRPr="0050035B" w:rsidRDefault="00B75140" w:rsidP="00C235C8">
      <w:pPr>
        <w:spacing w:line="360" w:lineRule="auto"/>
        <w:ind w:firstLine="720"/>
        <w:jc w:val="both"/>
        <w:rPr>
          <w:rFonts w:ascii="Century Gothic" w:hAnsi="Century Gothic"/>
          <w:lang w:val="es-MX"/>
        </w:rPr>
      </w:pPr>
    </w:p>
    <w:p w:rsidR="00B75140" w:rsidRDefault="00B75140" w:rsidP="009223C3">
      <w:pPr>
        <w:spacing w:line="360" w:lineRule="auto"/>
        <w:ind w:firstLine="720"/>
        <w:jc w:val="both"/>
        <w:rPr>
          <w:rFonts w:ascii="Century Gothic" w:hAnsi="Century Gothic"/>
          <w:lang w:val="es-MX"/>
        </w:rPr>
      </w:pPr>
      <w:r>
        <w:rPr>
          <w:rFonts w:ascii="Century Gothic" w:hAnsi="Century Gothic"/>
          <w:lang w:val="es-MX"/>
        </w:rPr>
        <w:t>En su artículo 15 la propia ley señala que “e</w:t>
      </w:r>
      <w:r w:rsidRPr="00B75140">
        <w:rPr>
          <w:rFonts w:ascii="Century Gothic" w:hAnsi="Century Gothic"/>
          <w:lang w:val="es-MX"/>
        </w:rPr>
        <w:t>n caso de que durante el ejercicio fiscal disminuyan los ingresos previstos en la Ley de</w:t>
      </w:r>
      <w:r>
        <w:rPr>
          <w:rFonts w:ascii="Century Gothic" w:hAnsi="Century Gothic"/>
          <w:lang w:val="es-MX"/>
        </w:rPr>
        <w:t xml:space="preserve"> </w:t>
      </w:r>
      <w:r w:rsidRPr="00B75140">
        <w:rPr>
          <w:rFonts w:ascii="Century Gothic" w:hAnsi="Century Gothic"/>
          <w:lang w:val="es-MX"/>
        </w:rPr>
        <w:t>Ingresos, el Ejecutivo de la Entidad Federativa, por conducto de la secretaría de finanzas o su</w:t>
      </w:r>
      <w:r>
        <w:rPr>
          <w:rFonts w:ascii="Century Gothic" w:hAnsi="Century Gothic"/>
          <w:lang w:val="es-MX"/>
        </w:rPr>
        <w:t xml:space="preserve"> </w:t>
      </w:r>
      <w:r w:rsidRPr="00B75140">
        <w:rPr>
          <w:rFonts w:ascii="Century Gothic" w:hAnsi="Century Gothic"/>
          <w:lang w:val="es-MX"/>
        </w:rPr>
        <w:t>equivalente, a efecto de cumplir con el principio de sostenibilidad del Balance presupuestario y del</w:t>
      </w:r>
      <w:r>
        <w:rPr>
          <w:rFonts w:ascii="Century Gothic" w:hAnsi="Century Gothic"/>
          <w:lang w:val="es-MX"/>
        </w:rPr>
        <w:t xml:space="preserve"> </w:t>
      </w:r>
      <w:r w:rsidRPr="00B75140">
        <w:rPr>
          <w:rFonts w:ascii="Century Gothic" w:hAnsi="Century Gothic"/>
          <w:lang w:val="es-MX"/>
        </w:rPr>
        <w:t>Balance presupuestario de recursos disponibles, deberá aplicar ajustes al Presupuesto de Egresos en los</w:t>
      </w:r>
      <w:r>
        <w:rPr>
          <w:rFonts w:ascii="Century Gothic" w:hAnsi="Century Gothic"/>
          <w:lang w:val="es-MX"/>
        </w:rPr>
        <w:t xml:space="preserve"> </w:t>
      </w:r>
      <w:r w:rsidRPr="00B75140">
        <w:rPr>
          <w:rFonts w:ascii="Century Gothic" w:hAnsi="Century Gothic"/>
          <w:lang w:val="es-MX"/>
        </w:rPr>
        <w:t>rubros de gasto en el siguiente orden:</w:t>
      </w:r>
      <w:r>
        <w:rPr>
          <w:rFonts w:ascii="Century Gothic" w:hAnsi="Century Gothic"/>
          <w:lang w:val="es-MX"/>
        </w:rPr>
        <w:t xml:space="preserve"> </w:t>
      </w:r>
      <w:r w:rsidRPr="00B75140">
        <w:rPr>
          <w:rFonts w:ascii="Century Gothic" w:hAnsi="Century Gothic"/>
          <w:lang w:val="es-MX"/>
        </w:rPr>
        <w:t>I. Gastos de comunicación social;</w:t>
      </w:r>
      <w:r>
        <w:rPr>
          <w:rFonts w:ascii="Century Gothic" w:hAnsi="Century Gothic"/>
          <w:lang w:val="es-MX"/>
        </w:rPr>
        <w:t xml:space="preserve"> </w:t>
      </w:r>
      <w:r w:rsidRPr="00B75140">
        <w:rPr>
          <w:rFonts w:ascii="Century Gothic" w:hAnsi="Century Gothic"/>
          <w:lang w:val="es-MX"/>
        </w:rPr>
        <w:t>II. Gasto corriente que no constituya un subsidio entregado directamente a la población, en términos</w:t>
      </w:r>
      <w:r>
        <w:rPr>
          <w:rFonts w:ascii="Century Gothic" w:hAnsi="Century Gothic"/>
          <w:lang w:val="es-MX"/>
        </w:rPr>
        <w:t xml:space="preserve"> </w:t>
      </w:r>
      <w:r w:rsidRPr="00B75140">
        <w:rPr>
          <w:rFonts w:ascii="Century Gothic" w:hAnsi="Century Gothic"/>
          <w:lang w:val="es-MX"/>
        </w:rPr>
        <w:t>de lo dispuesto por el artículo 13, fracción VII de la presente Ley, y</w:t>
      </w:r>
      <w:r>
        <w:rPr>
          <w:rFonts w:ascii="Century Gothic" w:hAnsi="Century Gothic"/>
          <w:lang w:val="es-MX"/>
        </w:rPr>
        <w:t xml:space="preserve"> </w:t>
      </w:r>
      <w:r w:rsidRPr="00B75140">
        <w:rPr>
          <w:rFonts w:ascii="Century Gothic" w:hAnsi="Century Gothic"/>
          <w:lang w:val="es-MX"/>
        </w:rPr>
        <w:t>III. Gasto en servicios personales, prioritariamente las erogaciones por concepto de Percepciones</w:t>
      </w:r>
      <w:r>
        <w:rPr>
          <w:rFonts w:ascii="Century Gothic" w:hAnsi="Century Gothic"/>
          <w:lang w:val="es-MX"/>
        </w:rPr>
        <w:t xml:space="preserve"> </w:t>
      </w:r>
      <w:r w:rsidRPr="00B75140">
        <w:rPr>
          <w:rFonts w:ascii="Century Gothic" w:hAnsi="Century Gothic"/>
          <w:lang w:val="es-MX"/>
        </w:rPr>
        <w:t>extraordinarias.</w:t>
      </w:r>
    </w:p>
    <w:p w:rsidR="00B75140" w:rsidRPr="00B75140" w:rsidRDefault="00B75140" w:rsidP="00B75140">
      <w:pPr>
        <w:spacing w:line="360" w:lineRule="auto"/>
        <w:jc w:val="both"/>
        <w:rPr>
          <w:rFonts w:ascii="Century Gothic" w:hAnsi="Century Gothic"/>
          <w:lang w:val="es-MX"/>
        </w:rPr>
      </w:pPr>
    </w:p>
    <w:p w:rsidR="00B96A94" w:rsidRDefault="00B75140" w:rsidP="00B75140">
      <w:pPr>
        <w:spacing w:line="360" w:lineRule="auto"/>
        <w:ind w:firstLine="720"/>
        <w:jc w:val="both"/>
        <w:rPr>
          <w:rFonts w:ascii="Century Gothic" w:hAnsi="Century Gothic"/>
          <w:lang w:val="es-MX"/>
        </w:rPr>
      </w:pPr>
      <w:r w:rsidRPr="00B75140">
        <w:rPr>
          <w:rFonts w:ascii="Century Gothic" w:hAnsi="Century Gothic"/>
          <w:lang w:val="es-MX"/>
        </w:rPr>
        <w:t>En caso de que los ajustes anteriores no sean suficientes para compensar la disminución de ingresos,</w:t>
      </w:r>
      <w:r>
        <w:rPr>
          <w:rFonts w:ascii="Century Gothic" w:hAnsi="Century Gothic"/>
          <w:lang w:val="es-MX"/>
        </w:rPr>
        <w:t xml:space="preserve"> </w:t>
      </w:r>
      <w:r w:rsidRPr="00B75140">
        <w:rPr>
          <w:rFonts w:ascii="Century Gothic" w:hAnsi="Century Gothic"/>
          <w:lang w:val="es-MX"/>
        </w:rPr>
        <w:t>podrán realizarse ajustes en otros conceptos de gasto, siempre y cuando se procure no afectar los</w:t>
      </w:r>
      <w:r>
        <w:rPr>
          <w:rFonts w:ascii="Century Gothic" w:hAnsi="Century Gothic"/>
          <w:lang w:val="es-MX"/>
        </w:rPr>
        <w:t xml:space="preserve"> </w:t>
      </w:r>
      <w:r w:rsidRPr="00B75140">
        <w:rPr>
          <w:rFonts w:ascii="Century Gothic" w:hAnsi="Century Gothic"/>
          <w:lang w:val="es-MX"/>
        </w:rPr>
        <w:t>programas sociales</w:t>
      </w:r>
      <w:r>
        <w:rPr>
          <w:rFonts w:ascii="Century Gothic" w:hAnsi="Century Gothic"/>
          <w:lang w:val="es-MX"/>
        </w:rPr>
        <w:t>”</w:t>
      </w:r>
      <w:r w:rsidRPr="00B75140">
        <w:rPr>
          <w:rFonts w:ascii="Century Gothic" w:hAnsi="Century Gothic"/>
          <w:lang w:val="es-MX"/>
        </w:rPr>
        <w:t>.</w:t>
      </w:r>
    </w:p>
    <w:p w:rsidR="00B75140" w:rsidRPr="0050035B" w:rsidRDefault="00B75140" w:rsidP="00B75140">
      <w:pPr>
        <w:spacing w:line="360" w:lineRule="auto"/>
        <w:ind w:firstLine="720"/>
        <w:jc w:val="both"/>
        <w:rPr>
          <w:rFonts w:ascii="Century Gothic" w:hAnsi="Century Gothic"/>
          <w:lang w:val="es-MX"/>
        </w:rPr>
      </w:pPr>
    </w:p>
    <w:p w:rsidR="00167702" w:rsidRPr="0050035B" w:rsidRDefault="00C610DB" w:rsidP="00167702">
      <w:pPr>
        <w:spacing w:line="360" w:lineRule="auto"/>
        <w:jc w:val="both"/>
        <w:rPr>
          <w:rFonts w:ascii="Century Gothic" w:hAnsi="Century Gothic"/>
          <w:lang w:val="es-MX"/>
        </w:rPr>
      </w:pPr>
      <w:r w:rsidRPr="0050035B">
        <w:rPr>
          <w:rFonts w:ascii="Century Gothic" w:hAnsi="Century Gothic"/>
          <w:lang w:val="es-MX"/>
        </w:rPr>
        <w:tab/>
      </w:r>
      <w:r w:rsidR="009223C3">
        <w:rPr>
          <w:rFonts w:ascii="Century Gothic" w:hAnsi="Century Gothic"/>
          <w:lang w:val="es-MX"/>
        </w:rPr>
        <w:t>Por su parte</w:t>
      </w:r>
      <w:r w:rsidRPr="0050035B">
        <w:rPr>
          <w:rFonts w:ascii="Century Gothic" w:hAnsi="Century Gothic"/>
          <w:lang w:val="es-MX"/>
        </w:rPr>
        <w:t xml:space="preserve">, </w:t>
      </w:r>
      <w:r w:rsidR="00612CC0" w:rsidRPr="0050035B">
        <w:rPr>
          <w:rFonts w:ascii="Century Gothic" w:hAnsi="Century Gothic"/>
          <w:lang w:val="es-MX"/>
        </w:rPr>
        <w:t>la Ley de Disciplina Financiera</w:t>
      </w:r>
      <w:r w:rsidR="0037309F" w:rsidRPr="0050035B">
        <w:rPr>
          <w:rFonts w:ascii="Century Gothic" w:hAnsi="Century Gothic"/>
          <w:lang w:val="es-MX"/>
        </w:rPr>
        <w:t xml:space="preserve"> </w:t>
      </w:r>
      <w:r w:rsidRPr="0050035B">
        <w:rPr>
          <w:rFonts w:ascii="Century Gothic" w:hAnsi="Century Gothic"/>
          <w:lang w:val="es-MX"/>
        </w:rPr>
        <w:t>en su artículo 18 instituye que “</w:t>
      </w:r>
      <w:r w:rsidR="00167702" w:rsidRPr="0050035B">
        <w:rPr>
          <w:rFonts w:ascii="Century Gothic" w:hAnsi="Century Gothic"/>
          <w:lang w:val="es-MX"/>
        </w:rPr>
        <w:t xml:space="preserve">Las iniciativas de las Leyes de Ingresos y los proyectos de Presupuestos </w:t>
      </w:r>
      <w:r w:rsidR="00167702" w:rsidRPr="0050035B">
        <w:rPr>
          <w:rFonts w:ascii="Century Gothic" w:hAnsi="Century Gothic"/>
          <w:lang w:val="es-MX"/>
        </w:rPr>
        <w:lastRenderedPageBreak/>
        <w:t>de Egresos de los Municipios se deberán elaborar conforme a lo establecido en la legislación local aplicable, en la Ley General de Contabilidad Gubernamental y las normas que emita el Consejo Nacional de Armonización Contable, con base en objetivos, parámetros cuantificables e indicadores del desempeño; deberán ser</w:t>
      </w:r>
      <w:r w:rsidR="003A6064" w:rsidRPr="0050035B">
        <w:rPr>
          <w:rFonts w:ascii="Century Gothic" w:hAnsi="Century Gothic"/>
          <w:lang w:val="es-MX"/>
        </w:rPr>
        <w:t xml:space="preserve"> </w:t>
      </w:r>
      <w:r w:rsidR="00167702" w:rsidRPr="0050035B">
        <w:rPr>
          <w:rFonts w:ascii="Century Gothic" w:hAnsi="Century Gothic"/>
          <w:lang w:val="es-MX"/>
        </w:rPr>
        <w:t>congruentes con los planes estatales y municipales de desarrollo y los programas derivados de los mismos; e incluirán cuando menos objetivos anuales, estrategias y metas</w:t>
      </w:r>
      <w:r w:rsidR="007F5BAB" w:rsidRPr="0050035B">
        <w:rPr>
          <w:rFonts w:ascii="Century Gothic" w:hAnsi="Century Gothic"/>
          <w:lang w:val="es-MX"/>
        </w:rPr>
        <w:t>”</w:t>
      </w:r>
      <w:r w:rsidR="00167702" w:rsidRPr="0050035B">
        <w:rPr>
          <w:rFonts w:ascii="Century Gothic" w:hAnsi="Century Gothic"/>
          <w:lang w:val="es-MX"/>
        </w:rPr>
        <w:t>.</w:t>
      </w:r>
    </w:p>
    <w:p w:rsidR="00DD4D8A" w:rsidRPr="0050035B" w:rsidRDefault="00DD4D8A" w:rsidP="004F1A41">
      <w:pPr>
        <w:spacing w:line="360" w:lineRule="auto"/>
        <w:jc w:val="both"/>
        <w:rPr>
          <w:rFonts w:ascii="Century Gothic" w:hAnsi="Century Gothic"/>
          <w:lang w:val="es-MX"/>
        </w:rPr>
      </w:pPr>
    </w:p>
    <w:p w:rsidR="008779A3" w:rsidRPr="0050035B" w:rsidRDefault="008779A3" w:rsidP="00167702">
      <w:pPr>
        <w:spacing w:line="360" w:lineRule="auto"/>
        <w:ind w:firstLine="720"/>
        <w:jc w:val="both"/>
        <w:rPr>
          <w:rFonts w:ascii="Century Gothic" w:hAnsi="Century Gothic"/>
          <w:lang w:val="es-MX"/>
        </w:rPr>
      </w:pPr>
      <w:r w:rsidRPr="0050035B">
        <w:rPr>
          <w:rFonts w:ascii="Century Gothic" w:hAnsi="Century Gothic"/>
          <w:lang w:val="es-MX"/>
        </w:rPr>
        <w:t xml:space="preserve">Adicionalmente señala que, “Los Municipios deberán incluir en las iniciativas de las Leyes de Ingresos y los proyectos de Presupuestos de Egresos: </w:t>
      </w:r>
    </w:p>
    <w:p w:rsidR="008779A3" w:rsidRPr="0050035B" w:rsidRDefault="008779A3" w:rsidP="008779A3">
      <w:pPr>
        <w:spacing w:line="360" w:lineRule="auto"/>
        <w:ind w:firstLine="720"/>
        <w:jc w:val="both"/>
        <w:rPr>
          <w:rFonts w:ascii="Century Gothic" w:hAnsi="Century Gothic"/>
          <w:lang w:val="es-MX"/>
        </w:rPr>
      </w:pPr>
      <w:r w:rsidRPr="0050035B">
        <w:rPr>
          <w:rFonts w:ascii="Century Gothic" w:hAnsi="Century Gothic"/>
          <w:lang w:val="es-MX"/>
        </w:rPr>
        <w:t xml:space="preserve">I. Proyecciones de finanzas públicas, considerando las premisas empleadas en los Criterios Generales de Política Económica. </w:t>
      </w:r>
      <w:r w:rsidR="00167702" w:rsidRPr="0050035B">
        <w:rPr>
          <w:rFonts w:ascii="Century Gothic" w:hAnsi="Century Gothic"/>
          <w:lang w:val="es-MX"/>
        </w:rPr>
        <w:t>Las proyecciones se realizarán con base en los formatos que emita el Consejo N</w:t>
      </w:r>
      <w:r w:rsidR="004F1A41" w:rsidRPr="0050035B">
        <w:rPr>
          <w:rFonts w:ascii="Century Gothic" w:hAnsi="Century Gothic"/>
          <w:lang w:val="es-MX"/>
        </w:rPr>
        <w:t>acional de Armonización Contable (CONAC)</w:t>
      </w:r>
      <w:r w:rsidR="00167702" w:rsidRPr="0050035B">
        <w:rPr>
          <w:rFonts w:ascii="Century Gothic" w:hAnsi="Century Gothic"/>
          <w:lang w:val="es-MX"/>
        </w:rPr>
        <w:t xml:space="preserve"> y abarcarán un periodo de tres años en adición al ejercicio fiscal en cuestión, las que se revisarán y, en su caso, se adecuarán anualmente</w:t>
      </w:r>
      <w:r w:rsidR="00E060C6" w:rsidRPr="0050035B">
        <w:rPr>
          <w:rFonts w:ascii="Century Gothic" w:hAnsi="Century Gothic"/>
          <w:lang w:val="es-MX"/>
        </w:rPr>
        <w:t xml:space="preserve"> en los ejercicios subsecuentes;</w:t>
      </w:r>
      <w:r w:rsidRPr="0050035B">
        <w:rPr>
          <w:rFonts w:ascii="Century Gothic" w:hAnsi="Century Gothic"/>
          <w:lang w:val="es-MX"/>
        </w:rPr>
        <w:t xml:space="preserve"> </w:t>
      </w:r>
    </w:p>
    <w:p w:rsidR="008779A3" w:rsidRPr="0050035B" w:rsidRDefault="00167702" w:rsidP="008779A3">
      <w:pPr>
        <w:spacing w:line="360" w:lineRule="auto"/>
        <w:ind w:firstLine="720"/>
        <w:jc w:val="both"/>
        <w:rPr>
          <w:rFonts w:ascii="Century Gothic" w:hAnsi="Century Gothic"/>
          <w:lang w:val="es-MX"/>
        </w:rPr>
      </w:pPr>
      <w:r w:rsidRPr="0050035B">
        <w:rPr>
          <w:rFonts w:ascii="Century Gothic" w:hAnsi="Century Gothic"/>
          <w:lang w:val="es-MX"/>
        </w:rPr>
        <w:t>II. Descripción de los riesgos relevantes para las finanzas públicas, incluyendo los montos de Deuda Contingente, acompañados de propuestas de acción para enfrentarlos</w:t>
      </w:r>
      <w:r w:rsidR="00DD4D8A" w:rsidRPr="0050035B">
        <w:rPr>
          <w:rFonts w:ascii="Century Gothic" w:hAnsi="Century Gothic"/>
          <w:lang w:val="es-MX"/>
        </w:rPr>
        <w:t xml:space="preserve">; </w:t>
      </w:r>
    </w:p>
    <w:p w:rsidR="008779A3" w:rsidRPr="0050035B" w:rsidRDefault="00DD4D8A" w:rsidP="008779A3">
      <w:pPr>
        <w:spacing w:line="360" w:lineRule="auto"/>
        <w:ind w:firstLine="720"/>
        <w:jc w:val="both"/>
        <w:rPr>
          <w:rFonts w:ascii="Century Gothic" w:hAnsi="Century Gothic"/>
          <w:lang w:val="es-MX"/>
        </w:rPr>
      </w:pPr>
      <w:r w:rsidRPr="0050035B">
        <w:rPr>
          <w:rFonts w:ascii="Century Gothic" w:hAnsi="Century Gothic"/>
          <w:lang w:val="es-MX"/>
        </w:rPr>
        <w:t>III.</w:t>
      </w:r>
      <w:r w:rsidR="00167702" w:rsidRPr="0050035B">
        <w:rPr>
          <w:rFonts w:ascii="Century Gothic" w:hAnsi="Century Gothic"/>
          <w:lang w:val="es-MX"/>
        </w:rPr>
        <w:t xml:space="preserve"> Los resultados de las finanzas públicas que abarquen un periodo de los tres últimos años y el ejercicio fiscal en cuestión, de acuerdo con los formatos que emita el Consejo Nacional de Armonización Contable para este fin, y</w:t>
      </w:r>
      <w:r w:rsidRPr="0050035B">
        <w:rPr>
          <w:rFonts w:ascii="Century Gothic" w:hAnsi="Century Gothic"/>
          <w:lang w:val="es-MX"/>
        </w:rPr>
        <w:t xml:space="preserve"> </w:t>
      </w:r>
    </w:p>
    <w:p w:rsidR="00167702" w:rsidRPr="0050035B" w:rsidRDefault="00167702" w:rsidP="008779A3">
      <w:pPr>
        <w:spacing w:line="360" w:lineRule="auto"/>
        <w:ind w:firstLine="720"/>
        <w:jc w:val="both"/>
        <w:rPr>
          <w:rFonts w:ascii="Century Gothic" w:hAnsi="Century Gothic"/>
          <w:lang w:val="es-MX"/>
        </w:rPr>
      </w:pPr>
      <w:r w:rsidRPr="0050035B">
        <w:rPr>
          <w:rFonts w:ascii="Century Gothic" w:hAnsi="Century Gothic"/>
          <w:lang w:val="es-MX"/>
        </w:rPr>
        <w:t xml:space="preserve">IV. Un estudio actuarial de las pensiones de sus trabajadores, el cual como mínimo deberá actualizarse cada cuatro años. El estudio deberá incluir la población afiliada, la edad promedio, las características de las prestaciones otorgadas por la ley aplicable, el monto de reservas de </w:t>
      </w:r>
      <w:r w:rsidRPr="0050035B">
        <w:rPr>
          <w:rFonts w:ascii="Century Gothic" w:hAnsi="Century Gothic"/>
          <w:lang w:val="es-MX"/>
        </w:rPr>
        <w:lastRenderedPageBreak/>
        <w:t>pensiones, así como el periodo de suficiencia y el balance actuarial en valor presente.</w:t>
      </w:r>
    </w:p>
    <w:p w:rsidR="00167702" w:rsidRPr="0050035B" w:rsidRDefault="00167702" w:rsidP="00167702">
      <w:pPr>
        <w:spacing w:line="360" w:lineRule="auto"/>
        <w:ind w:firstLine="720"/>
        <w:jc w:val="both"/>
        <w:rPr>
          <w:rFonts w:ascii="Century Gothic" w:hAnsi="Century Gothic"/>
          <w:lang w:val="es-MX"/>
        </w:rPr>
      </w:pPr>
    </w:p>
    <w:p w:rsidR="00167702" w:rsidRPr="0050035B" w:rsidRDefault="00167702" w:rsidP="00167702">
      <w:pPr>
        <w:spacing w:line="360" w:lineRule="auto"/>
        <w:ind w:firstLine="720"/>
        <w:jc w:val="both"/>
        <w:rPr>
          <w:rFonts w:ascii="Century Gothic" w:hAnsi="Century Gothic"/>
          <w:lang w:val="es-MX"/>
        </w:rPr>
      </w:pPr>
      <w:r w:rsidRPr="0050035B">
        <w:rPr>
          <w:rFonts w:ascii="Century Gothic" w:hAnsi="Century Gothic"/>
          <w:lang w:val="es-MX"/>
        </w:rPr>
        <w:t>Las proyecciones y resultados a que se refieren las fracciones I y III, respectivamente, comprenderán sólo un año para el caso de los Municipios con una población menor a 200,000 habitantes, de acuerdo con el último censo o conteo de población que publique el Instituto Nacional de Estadística y Geografía. Dichos Municipios conta</w:t>
      </w:r>
      <w:r w:rsidR="00743BFD" w:rsidRPr="0050035B">
        <w:rPr>
          <w:rFonts w:ascii="Century Gothic" w:hAnsi="Century Gothic"/>
          <w:lang w:val="es-MX"/>
        </w:rPr>
        <w:t>rán con el apoyo técnico de la Secretaría de F</w:t>
      </w:r>
      <w:r w:rsidRPr="0050035B">
        <w:rPr>
          <w:rFonts w:ascii="Century Gothic" w:hAnsi="Century Gothic"/>
          <w:lang w:val="es-MX"/>
        </w:rPr>
        <w:t>inanzas o su equivalente del Estado para cumplir lo previsto en este artículo</w:t>
      </w:r>
      <w:r w:rsidR="00E060C6" w:rsidRPr="0050035B">
        <w:rPr>
          <w:rFonts w:ascii="Century Gothic" w:hAnsi="Century Gothic"/>
          <w:lang w:val="es-MX"/>
        </w:rPr>
        <w:t>”</w:t>
      </w:r>
      <w:r w:rsidRPr="0050035B">
        <w:rPr>
          <w:rFonts w:ascii="Century Gothic" w:hAnsi="Century Gothic"/>
          <w:lang w:val="es-MX"/>
        </w:rPr>
        <w:t>.</w:t>
      </w:r>
    </w:p>
    <w:p w:rsidR="00931B0D" w:rsidRPr="0050035B" w:rsidRDefault="00931B0D" w:rsidP="00167702">
      <w:pPr>
        <w:spacing w:line="360" w:lineRule="auto"/>
        <w:ind w:firstLine="720"/>
        <w:jc w:val="both"/>
        <w:rPr>
          <w:rFonts w:ascii="Century Gothic" w:hAnsi="Century Gothic"/>
          <w:lang w:val="es-MX"/>
        </w:rPr>
      </w:pPr>
    </w:p>
    <w:p w:rsidR="00D80509" w:rsidRDefault="007E2547" w:rsidP="00D80509">
      <w:pPr>
        <w:spacing w:line="360" w:lineRule="auto"/>
        <w:ind w:firstLine="720"/>
        <w:jc w:val="both"/>
        <w:rPr>
          <w:rFonts w:ascii="Century Gothic" w:hAnsi="Century Gothic"/>
          <w:lang w:val="es-MX"/>
        </w:rPr>
      </w:pPr>
      <w:r w:rsidRPr="0050035B">
        <w:rPr>
          <w:rFonts w:ascii="Century Gothic" w:hAnsi="Century Gothic"/>
          <w:lang w:val="es-MX"/>
        </w:rPr>
        <w:t xml:space="preserve">Señala también el artículo </w:t>
      </w:r>
      <w:r w:rsidR="00D80509" w:rsidRPr="0050035B">
        <w:rPr>
          <w:rFonts w:ascii="Century Gothic" w:hAnsi="Century Gothic"/>
          <w:lang w:val="es-MX"/>
        </w:rPr>
        <w:t>1</w:t>
      </w:r>
      <w:r w:rsidRPr="0050035B">
        <w:rPr>
          <w:rFonts w:ascii="Century Gothic" w:hAnsi="Century Gothic"/>
          <w:lang w:val="es-MX"/>
        </w:rPr>
        <w:t xml:space="preserve">9, que </w:t>
      </w:r>
      <w:r w:rsidR="00D80509" w:rsidRPr="0050035B">
        <w:rPr>
          <w:rFonts w:ascii="Century Gothic" w:hAnsi="Century Gothic"/>
          <w:lang w:val="es-MX"/>
        </w:rPr>
        <w:t>“El Gasto total propuesto por el Ayuntamiento del Municipio en el proyecto de Presupuesto de Egresos, el aprobado y el que se ejerza en el año fiscal, deberán contribuir al Balance</w:t>
      </w:r>
      <w:r w:rsidR="00743BFD" w:rsidRPr="0050035B">
        <w:rPr>
          <w:rFonts w:ascii="Century Gothic" w:hAnsi="Century Gothic"/>
          <w:lang w:val="es-MX"/>
        </w:rPr>
        <w:t xml:space="preserve"> Presupuestario S</w:t>
      </w:r>
      <w:r w:rsidR="00D80509" w:rsidRPr="0050035B">
        <w:rPr>
          <w:rFonts w:ascii="Century Gothic" w:hAnsi="Century Gothic"/>
          <w:lang w:val="es-MX"/>
        </w:rPr>
        <w:t>ostenible.</w:t>
      </w:r>
    </w:p>
    <w:p w:rsidR="00C17543" w:rsidRPr="0050035B" w:rsidRDefault="00C17543" w:rsidP="00C17543">
      <w:pPr>
        <w:tabs>
          <w:tab w:val="left" w:pos="6946"/>
        </w:tabs>
        <w:spacing w:line="360" w:lineRule="auto"/>
        <w:ind w:firstLine="720"/>
        <w:jc w:val="both"/>
        <w:rPr>
          <w:rFonts w:ascii="Century Gothic" w:hAnsi="Century Gothic"/>
          <w:lang w:val="es-MX"/>
        </w:rPr>
      </w:pPr>
    </w:p>
    <w:p w:rsidR="00D80509" w:rsidRPr="0050035B" w:rsidRDefault="00D80509" w:rsidP="00D80509">
      <w:pPr>
        <w:spacing w:line="360" w:lineRule="auto"/>
        <w:ind w:firstLine="720"/>
        <w:jc w:val="both"/>
        <w:rPr>
          <w:rFonts w:ascii="Century Gothic" w:hAnsi="Century Gothic"/>
          <w:lang w:val="es-MX"/>
        </w:rPr>
      </w:pPr>
      <w:r w:rsidRPr="0050035B">
        <w:rPr>
          <w:rFonts w:ascii="Century Gothic" w:hAnsi="Century Gothic"/>
          <w:lang w:val="es-MX"/>
        </w:rPr>
        <w:t>El Ayuntamiento del Mun</w:t>
      </w:r>
      <w:r w:rsidR="00743BFD" w:rsidRPr="0050035B">
        <w:rPr>
          <w:rFonts w:ascii="Century Gothic" w:hAnsi="Century Gothic"/>
          <w:lang w:val="es-MX"/>
        </w:rPr>
        <w:t>icipio deberá generar Balances Presupuestarios S</w:t>
      </w:r>
      <w:r w:rsidRPr="0050035B">
        <w:rPr>
          <w:rFonts w:ascii="Century Gothic" w:hAnsi="Century Gothic"/>
          <w:lang w:val="es-MX"/>
        </w:rPr>
        <w:t>ostenibles.</w:t>
      </w:r>
      <w:r w:rsidR="00811F4B" w:rsidRPr="0050035B">
        <w:rPr>
          <w:rFonts w:ascii="Century Gothic" w:hAnsi="Century Gothic"/>
          <w:lang w:val="es-MX"/>
        </w:rPr>
        <w:t xml:space="preserve"> Se considerará que el Balance P</w:t>
      </w:r>
      <w:r w:rsidRPr="0050035B">
        <w:rPr>
          <w:rFonts w:ascii="Century Gothic" w:hAnsi="Century Gothic"/>
          <w:lang w:val="es-MX"/>
        </w:rPr>
        <w:t xml:space="preserve">resupuestario cumple con el principio de sostenibilidad, cuando al final del ejercicio fiscal y bajo el momento contable devengado, dicho balance sea mayor o igual a cero. Igualmente, el Balance </w:t>
      </w:r>
      <w:r w:rsidR="00811F4B" w:rsidRPr="0050035B">
        <w:rPr>
          <w:rFonts w:ascii="Century Gothic" w:hAnsi="Century Gothic"/>
          <w:lang w:val="es-MX"/>
        </w:rPr>
        <w:t>P</w:t>
      </w:r>
      <w:r w:rsidRPr="0050035B">
        <w:rPr>
          <w:rFonts w:ascii="Century Gothic" w:hAnsi="Century Gothic"/>
          <w:lang w:val="es-MX"/>
        </w:rPr>
        <w:t>resupuestario de recursos disponibles es sostenible, cuando al final del ejercicio y bajo el momento contable devengado, dicho balance sea mayor o igual a cero. El Financiamiento Neto que, en su caso, se contrate por parte del Municipio y se utili</w:t>
      </w:r>
      <w:r w:rsidR="00743BFD" w:rsidRPr="0050035B">
        <w:rPr>
          <w:rFonts w:ascii="Century Gothic" w:hAnsi="Century Gothic"/>
          <w:lang w:val="es-MX"/>
        </w:rPr>
        <w:t>ce para el cálculo del Balance P</w:t>
      </w:r>
      <w:r w:rsidRPr="0050035B">
        <w:rPr>
          <w:rFonts w:ascii="Century Gothic" w:hAnsi="Century Gothic"/>
          <w:lang w:val="es-MX"/>
        </w:rPr>
        <w:t>resupuestario de recursos disponibles sostenible, deberá estar dentro del Techo de Financiamiento Neto que resulte de la aplicación del Sistema de Alertas, de acuerdo con el artículo 46 de esta Ley.</w:t>
      </w:r>
    </w:p>
    <w:p w:rsidR="00D80509" w:rsidRPr="0050035B" w:rsidRDefault="00D80509" w:rsidP="00D80509">
      <w:pPr>
        <w:spacing w:line="360" w:lineRule="auto"/>
        <w:ind w:firstLine="720"/>
        <w:jc w:val="both"/>
        <w:rPr>
          <w:rFonts w:ascii="Century Gothic" w:hAnsi="Century Gothic"/>
          <w:lang w:val="es-MX"/>
        </w:rPr>
      </w:pPr>
    </w:p>
    <w:p w:rsidR="00C610DB" w:rsidRPr="0050035B" w:rsidRDefault="00D80509" w:rsidP="00D80509">
      <w:pPr>
        <w:spacing w:line="360" w:lineRule="auto"/>
        <w:ind w:firstLine="720"/>
        <w:jc w:val="both"/>
        <w:rPr>
          <w:rFonts w:ascii="Century Gothic" w:hAnsi="Century Gothic"/>
          <w:lang w:val="es-MX"/>
        </w:rPr>
      </w:pPr>
      <w:r w:rsidRPr="0050035B">
        <w:rPr>
          <w:rFonts w:ascii="Century Gothic" w:hAnsi="Century Gothic"/>
          <w:lang w:val="es-MX"/>
        </w:rPr>
        <w:lastRenderedPageBreak/>
        <w:t xml:space="preserve">Debido a las razones excepcionales a que se refiere el artículo 7 de esta Ley, la Legislatura </w:t>
      </w:r>
      <w:r w:rsidR="00811F4B" w:rsidRPr="0050035B">
        <w:rPr>
          <w:rFonts w:ascii="Century Gothic" w:hAnsi="Century Gothic"/>
          <w:lang w:val="es-MX"/>
        </w:rPr>
        <w:t>local podrá aprobar un Balance P</w:t>
      </w:r>
      <w:r w:rsidRPr="0050035B">
        <w:rPr>
          <w:rFonts w:ascii="Century Gothic" w:hAnsi="Century Gothic"/>
          <w:lang w:val="es-MX"/>
        </w:rPr>
        <w:t>resupuestario de recursos disponibles negativo para el Municipio respectivo. Para tal efecto, el tesorero municipal o su equivalente, será responsable de cumplir lo previsto en el artículo 6, párrafo tercero a quinto de esta Ley”.</w:t>
      </w:r>
    </w:p>
    <w:p w:rsidR="00C610DB" w:rsidRPr="0050035B" w:rsidRDefault="00C610DB" w:rsidP="00C610DB">
      <w:pPr>
        <w:spacing w:line="360" w:lineRule="auto"/>
        <w:jc w:val="both"/>
        <w:rPr>
          <w:rFonts w:ascii="Century Gothic" w:hAnsi="Century Gothic"/>
          <w:lang w:val="es-MX"/>
        </w:rPr>
      </w:pPr>
    </w:p>
    <w:p w:rsidR="005B5B06" w:rsidRPr="0050035B" w:rsidRDefault="005B5B06" w:rsidP="005B5B06">
      <w:pPr>
        <w:spacing w:line="360" w:lineRule="auto"/>
        <w:ind w:firstLine="720"/>
        <w:jc w:val="both"/>
        <w:rPr>
          <w:rFonts w:ascii="Century Gothic" w:hAnsi="Century Gothic"/>
          <w:lang w:val="es-MX"/>
        </w:rPr>
      </w:pPr>
      <w:r w:rsidRPr="0050035B">
        <w:rPr>
          <w:rFonts w:ascii="Century Gothic" w:hAnsi="Century Gothic"/>
          <w:lang w:val="es-MX"/>
        </w:rPr>
        <w:t xml:space="preserve">Destaca el artículo 21 por referir la aplicabilidad de diversas disposiciones normativas ya señaladas en este apartado, </w:t>
      </w:r>
      <w:r w:rsidR="007E221F">
        <w:rPr>
          <w:rFonts w:ascii="Century Gothic" w:hAnsi="Century Gothic"/>
          <w:lang w:val="es-MX"/>
        </w:rPr>
        <w:t>cuando señala:</w:t>
      </w:r>
      <w:r w:rsidRPr="0050035B">
        <w:rPr>
          <w:rFonts w:ascii="Century Gothic" w:hAnsi="Century Gothic"/>
          <w:lang w:val="es-MX"/>
        </w:rPr>
        <w:t xml:space="preserve"> “Los Municipios y sus Entes Públicos deberán observar las disposiciones establecidas en los artículos 8, 10, 11, 14, 15 y 17 de esta Ley”.</w:t>
      </w:r>
      <w:r w:rsidRPr="0050035B">
        <w:rPr>
          <w:rFonts w:ascii="Century Gothic" w:hAnsi="Century Gothic"/>
          <w:lang w:val="es-MX"/>
        </w:rPr>
        <w:cr/>
      </w:r>
    </w:p>
    <w:p w:rsidR="00C610DB" w:rsidRPr="0050035B" w:rsidRDefault="002A4069" w:rsidP="00D80509">
      <w:pPr>
        <w:spacing w:line="360" w:lineRule="auto"/>
        <w:ind w:firstLine="720"/>
        <w:jc w:val="both"/>
        <w:rPr>
          <w:rFonts w:ascii="Century Gothic" w:hAnsi="Century Gothic"/>
          <w:lang w:val="es-MX"/>
        </w:rPr>
      </w:pPr>
      <w:r w:rsidRPr="0050035B">
        <w:rPr>
          <w:rFonts w:ascii="Century Gothic" w:hAnsi="Century Gothic"/>
          <w:lang w:val="es-MX"/>
        </w:rPr>
        <w:t>En lo referente a la aprobación de los montos máximos de financiamiento y obligaciones</w:t>
      </w:r>
      <w:r w:rsidR="007F630B" w:rsidRPr="0050035B">
        <w:rPr>
          <w:rFonts w:ascii="Century Gothic" w:hAnsi="Century Gothic"/>
          <w:lang w:val="es-MX"/>
        </w:rPr>
        <w:t xml:space="preserve">, en su artículo 23 la Ley de Disciplina Financiera </w:t>
      </w:r>
      <w:r w:rsidRPr="0050035B">
        <w:rPr>
          <w:rFonts w:ascii="Century Gothic" w:hAnsi="Century Gothic"/>
          <w:lang w:val="es-MX"/>
        </w:rPr>
        <w:t>establece el requerimi</w:t>
      </w:r>
      <w:r w:rsidR="00D80509" w:rsidRPr="0050035B">
        <w:rPr>
          <w:rFonts w:ascii="Century Gothic" w:hAnsi="Century Gothic"/>
          <w:lang w:val="es-MX"/>
        </w:rPr>
        <w:t>ento de una mayoría calificada “La Legislatura local, por el voto de las dos terceras partes de sus miembros presentes, autorizará los montos máximos para la contratación de</w:t>
      </w:r>
      <w:r w:rsidR="00DD4D8A" w:rsidRPr="0050035B">
        <w:rPr>
          <w:rFonts w:ascii="Century Gothic" w:hAnsi="Century Gothic"/>
          <w:lang w:val="es-MX"/>
        </w:rPr>
        <w:t xml:space="preserve"> Financiamientos y Obligaciones</w:t>
      </w:r>
      <w:r w:rsidR="007C14DC" w:rsidRPr="0050035B">
        <w:rPr>
          <w:rFonts w:ascii="Century Gothic" w:hAnsi="Century Gothic"/>
          <w:lang w:val="es-MX"/>
        </w:rPr>
        <w:t>”.</w:t>
      </w:r>
    </w:p>
    <w:p w:rsidR="00C610DB" w:rsidRPr="0050035B" w:rsidRDefault="00C610DB" w:rsidP="00C610DB">
      <w:pPr>
        <w:spacing w:line="360" w:lineRule="auto"/>
        <w:jc w:val="both"/>
        <w:rPr>
          <w:rFonts w:ascii="Century Gothic" w:hAnsi="Century Gothic"/>
          <w:lang w:val="es-MX"/>
        </w:rPr>
      </w:pPr>
    </w:p>
    <w:p w:rsidR="00D80509" w:rsidRPr="0050035B" w:rsidRDefault="002A4069" w:rsidP="00D80509">
      <w:pPr>
        <w:spacing w:line="360" w:lineRule="auto"/>
        <w:ind w:firstLine="720"/>
        <w:jc w:val="both"/>
        <w:rPr>
          <w:rFonts w:ascii="Century Gothic" w:hAnsi="Century Gothic"/>
          <w:lang w:val="es-MX"/>
        </w:rPr>
      </w:pPr>
      <w:r w:rsidRPr="0050035B">
        <w:rPr>
          <w:rFonts w:ascii="Century Gothic" w:hAnsi="Century Gothic"/>
          <w:lang w:val="es-MX"/>
        </w:rPr>
        <w:t xml:space="preserve"> De forma complementaria a lo establecido en el artículo 23</w:t>
      </w:r>
      <w:r w:rsidR="00926860" w:rsidRPr="0050035B">
        <w:rPr>
          <w:rFonts w:ascii="Century Gothic" w:hAnsi="Century Gothic"/>
          <w:lang w:val="es-MX"/>
        </w:rPr>
        <w:t>,</w:t>
      </w:r>
      <w:r w:rsidRPr="0050035B">
        <w:rPr>
          <w:rFonts w:ascii="Century Gothic" w:hAnsi="Century Gothic"/>
          <w:lang w:val="es-MX"/>
        </w:rPr>
        <w:t xml:space="preserve"> el </w:t>
      </w:r>
      <w:r w:rsidR="000F2E42" w:rsidRPr="0050035B">
        <w:rPr>
          <w:rFonts w:ascii="Century Gothic" w:hAnsi="Century Gothic"/>
          <w:lang w:val="es-MX"/>
        </w:rPr>
        <w:t>artículo</w:t>
      </w:r>
      <w:r w:rsidRPr="0050035B">
        <w:rPr>
          <w:rFonts w:ascii="Century Gothic" w:hAnsi="Century Gothic"/>
          <w:lang w:val="es-MX"/>
        </w:rPr>
        <w:t xml:space="preserve"> </w:t>
      </w:r>
      <w:r w:rsidR="00C610DB" w:rsidRPr="0050035B">
        <w:rPr>
          <w:rFonts w:ascii="Century Gothic" w:hAnsi="Century Gothic"/>
          <w:lang w:val="es-MX"/>
        </w:rPr>
        <w:t>24</w:t>
      </w:r>
      <w:r w:rsidR="00726A03" w:rsidRPr="0050035B">
        <w:rPr>
          <w:rFonts w:ascii="Century Gothic" w:hAnsi="Century Gothic"/>
          <w:lang w:val="es-MX"/>
        </w:rPr>
        <w:t xml:space="preserve"> estipula: </w:t>
      </w:r>
      <w:r w:rsidRPr="0050035B">
        <w:rPr>
          <w:rFonts w:ascii="Century Gothic" w:hAnsi="Century Gothic"/>
          <w:lang w:val="es-MX"/>
        </w:rPr>
        <w:t>“</w:t>
      </w:r>
      <w:r w:rsidR="00C610DB" w:rsidRPr="0050035B">
        <w:rPr>
          <w:rFonts w:ascii="Century Gothic" w:hAnsi="Century Gothic"/>
          <w:lang w:val="es-MX"/>
        </w:rPr>
        <w:t>La autorización de financiamiento debe especificar</w:t>
      </w:r>
      <w:r w:rsidR="00D80509" w:rsidRPr="0050035B">
        <w:rPr>
          <w:rFonts w:ascii="Century Gothic" w:hAnsi="Century Gothic"/>
          <w:lang w:val="es-MX"/>
        </w:rPr>
        <w:t xml:space="preserve"> por lo menos lo siguiente</w:t>
      </w:r>
      <w:r w:rsidR="00C610DB" w:rsidRPr="0050035B">
        <w:rPr>
          <w:rFonts w:ascii="Century Gothic" w:hAnsi="Century Gothic"/>
          <w:lang w:val="es-MX"/>
        </w:rPr>
        <w:t>:</w:t>
      </w:r>
      <w:r w:rsidR="00D80509" w:rsidRPr="0050035B">
        <w:rPr>
          <w:lang w:val="es-MX"/>
        </w:rPr>
        <w:t xml:space="preserve"> </w:t>
      </w:r>
      <w:r w:rsidR="00D80509" w:rsidRPr="0050035B">
        <w:rPr>
          <w:rFonts w:ascii="Century Gothic" w:hAnsi="Century Gothic"/>
          <w:lang w:val="es-MX"/>
        </w:rPr>
        <w:t xml:space="preserve">I. Monto autorizado de la </w:t>
      </w:r>
      <w:r w:rsidR="00B75140">
        <w:rPr>
          <w:rFonts w:ascii="Century Gothic" w:hAnsi="Century Gothic"/>
          <w:lang w:val="es-MX"/>
        </w:rPr>
        <w:t>d</w:t>
      </w:r>
      <w:r w:rsidR="00D80509" w:rsidRPr="0050035B">
        <w:rPr>
          <w:rFonts w:ascii="Century Gothic" w:hAnsi="Century Gothic"/>
          <w:lang w:val="es-MX"/>
        </w:rPr>
        <w:t xml:space="preserve">euda </w:t>
      </w:r>
      <w:r w:rsidR="00B75140">
        <w:rPr>
          <w:rFonts w:ascii="Century Gothic" w:hAnsi="Century Gothic"/>
          <w:lang w:val="es-MX"/>
        </w:rPr>
        <w:t>p</w:t>
      </w:r>
      <w:r w:rsidR="00D80509" w:rsidRPr="0050035B">
        <w:rPr>
          <w:rFonts w:ascii="Century Gothic" w:hAnsi="Century Gothic"/>
          <w:lang w:val="es-MX"/>
        </w:rPr>
        <w:t xml:space="preserve">ública u </w:t>
      </w:r>
      <w:r w:rsidR="00B75140">
        <w:rPr>
          <w:rFonts w:ascii="Century Gothic" w:hAnsi="Century Gothic"/>
          <w:lang w:val="es-MX"/>
        </w:rPr>
        <w:t>o</w:t>
      </w:r>
      <w:r w:rsidR="00D80509" w:rsidRPr="0050035B">
        <w:rPr>
          <w:rFonts w:ascii="Century Gothic" w:hAnsi="Century Gothic"/>
          <w:lang w:val="es-MX"/>
        </w:rPr>
        <w:t>bligación a incurrir; II. Plazo máximo autorizado para el pag</w:t>
      </w:r>
      <w:r w:rsidR="00D27B23">
        <w:rPr>
          <w:rFonts w:ascii="Century Gothic" w:hAnsi="Century Gothic"/>
          <w:lang w:val="es-MX"/>
        </w:rPr>
        <w:t xml:space="preserve">o; III. Destino de los recursos; </w:t>
      </w:r>
      <w:r w:rsidR="00D27B23">
        <w:rPr>
          <w:lang w:val="es-MX"/>
        </w:rPr>
        <w:t>IV.</w:t>
      </w:r>
      <w:r w:rsidR="00D80509" w:rsidRPr="0050035B">
        <w:rPr>
          <w:rFonts w:ascii="Century Gothic" w:hAnsi="Century Gothic"/>
          <w:lang w:val="es-MX"/>
        </w:rPr>
        <w:t xml:space="preserve"> En su caso, la </w:t>
      </w:r>
      <w:r w:rsidR="00B75140">
        <w:rPr>
          <w:rFonts w:ascii="Century Gothic" w:hAnsi="Century Gothic"/>
          <w:lang w:val="es-MX"/>
        </w:rPr>
        <w:t>f</w:t>
      </w:r>
      <w:r w:rsidR="00D80509" w:rsidRPr="0050035B">
        <w:rPr>
          <w:rFonts w:ascii="Century Gothic" w:hAnsi="Century Gothic"/>
          <w:lang w:val="es-MX"/>
        </w:rPr>
        <w:t xml:space="preserve">uente de pago o la contratación de una </w:t>
      </w:r>
      <w:r w:rsidR="00B75140">
        <w:rPr>
          <w:rFonts w:ascii="Century Gothic" w:hAnsi="Century Gothic"/>
          <w:lang w:val="es-MX"/>
        </w:rPr>
        <w:t>g</w:t>
      </w:r>
      <w:r w:rsidR="00D80509" w:rsidRPr="0050035B">
        <w:rPr>
          <w:rFonts w:ascii="Century Gothic" w:hAnsi="Century Gothic"/>
          <w:lang w:val="es-MX"/>
        </w:rPr>
        <w:t xml:space="preserve">arantía de pago de la </w:t>
      </w:r>
      <w:r w:rsidR="00B75140">
        <w:rPr>
          <w:rFonts w:ascii="Century Gothic" w:hAnsi="Century Gothic"/>
          <w:lang w:val="es-MX"/>
        </w:rPr>
        <w:t>d</w:t>
      </w:r>
      <w:r w:rsidR="00D80509" w:rsidRPr="0050035B">
        <w:rPr>
          <w:rFonts w:ascii="Century Gothic" w:hAnsi="Century Gothic"/>
          <w:lang w:val="es-MX"/>
        </w:rPr>
        <w:t xml:space="preserve">euda </w:t>
      </w:r>
      <w:r w:rsidR="00B75140">
        <w:rPr>
          <w:rFonts w:ascii="Century Gothic" w:hAnsi="Century Gothic"/>
          <w:lang w:val="es-MX"/>
        </w:rPr>
        <w:t>p</w:t>
      </w:r>
      <w:r w:rsidR="00D80509" w:rsidRPr="0050035B">
        <w:rPr>
          <w:rFonts w:ascii="Century Gothic" w:hAnsi="Century Gothic"/>
          <w:lang w:val="es-MX"/>
        </w:rPr>
        <w:t xml:space="preserve">ública u </w:t>
      </w:r>
      <w:r w:rsidR="00B75140">
        <w:rPr>
          <w:rFonts w:ascii="Century Gothic" w:hAnsi="Century Gothic"/>
          <w:lang w:val="es-MX"/>
        </w:rPr>
        <w:t>o</w:t>
      </w:r>
      <w:r w:rsidR="00D80509" w:rsidRPr="0050035B">
        <w:rPr>
          <w:rFonts w:ascii="Century Gothic" w:hAnsi="Century Gothic"/>
          <w:lang w:val="es-MX"/>
        </w:rPr>
        <w:t>bligación, y V. En caso de autorizaciones específicas, establecer la vigencia de la autorización, en cuyo caso no podrá exceder el ejercicio fiscal siguiente. De no establecer una vigencia, se entenderá que la autorización sólo se podrá ejercer en el ejercicio fiscal en que fue aprobada.</w:t>
      </w:r>
    </w:p>
    <w:p w:rsidR="00D80509" w:rsidRPr="0050035B" w:rsidRDefault="00D80509" w:rsidP="00D80509">
      <w:pPr>
        <w:spacing w:line="360" w:lineRule="auto"/>
        <w:ind w:firstLine="720"/>
        <w:jc w:val="both"/>
        <w:rPr>
          <w:rFonts w:ascii="Century Gothic" w:hAnsi="Century Gothic"/>
          <w:lang w:val="es-MX"/>
        </w:rPr>
      </w:pPr>
    </w:p>
    <w:p w:rsidR="00D80509" w:rsidRPr="0050035B" w:rsidRDefault="00D80509" w:rsidP="000F2E42">
      <w:pPr>
        <w:spacing w:line="360" w:lineRule="auto"/>
        <w:ind w:firstLine="720"/>
        <w:jc w:val="both"/>
        <w:rPr>
          <w:rFonts w:ascii="Century Gothic" w:hAnsi="Century Gothic"/>
          <w:lang w:val="es-MX"/>
        </w:rPr>
      </w:pPr>
      <w:r w:rsidRPr="0050035B">
        <w:rPr>
          <w:rFonts w:ascii="Century Gothic" w:hAnsi="Century Gothic"/>
          <w:lang w:val="es-MX"/>
        </w:rPr>
        <w:t xml:space="preserve">Los requisitos a que se refiere este artículo deberán cumplirse, en lo conducente, para la autorización de la Legislatura local en el otorgamiento de avales o </w:t>
      </w:r>
      <w:r w:rsidR="00B75140">
        <w:rPr>
          <w:rFonts w:ascii="Century Gothic" w:hAnsi="Century Gothic"/>
          <w:lang w:val="es-MX"/>
        </w:rPr>
        <w:t>g</w:t>
      </w:r>
      <w:r w:rsidRPr="0050035B">
        <w:rPr>
          <w:rFonts w:ascii="Century Gothic" w:hAnsi="Century Gothic"/>
          <w:lang w:val="es-MX"/>
        </w:rPr>
        <w:t xml:space="preserve">arantías que pretendan otorgar los Estados o Municipios. Por su parte, el presente artículo no será aplicable a la Ciudad de México, en cuyo caso se aplicará lo previsto en el Capítulo III del presente Título”. </w:t>
      </w:r>
    </w:p>
    <w:p w:rsidR="00D80509" w:rsidRPr="0050035B" w:rsidRDefault="00D80509" w:rsidP="000F2E42">
      <w:pPr>
        <w:spacing w:line="360" w:lineRule="auto"/>
        <w:ind w:firstLine="720"/>
        <w:jc w:val="both"/>
        <w:rPr>
          <w:rFonts w:ascii="Century Gothic" w:hAnsi="Century Gothic"/>
          <w:lang w:val="es-MX"/>
        </w:rPr>
      </w:pPr>
    </w:p>
    <w:p w:rsidR="00DD4D8A" w:rsidRPr="0050035B" w:rsidRDefault="00726A03" w:rsidP="00DD4D8A">
      <w:pPr>
        <w:spacing w:line="360" w:lineRule="auto"/>
        <w:ind w:firstLine="720"/>
        <w:jc w:val="both"/>
        <w:rPr>
          <w:rFonts w:ascii="Century Gothic" w:hAnsi="Century Gothic"/>
          <w:lang w:val="es-MX"/>
        </w:rPr>
      </w:pPr>
      <w:r w:rsidRPr="0050035B">
        <w:rPr>
          <w:rFonts w:ascii="Century Gothic" w:hAnsi="Century Gothic"/>
          <w:lang w:val="es-MX"/>
        </w:rPr>
        <w:t>Para finalizar con el tema de l</w:t>
      </w:r>
      <w:r w:rsidR="000F2E42" w:rsidRPr="0050035B">
        <w:rPr>
          <w:rFonts w:ascii="Century Gothic" w:hAnsi="Century Gothic"/>
          <w:lang w:val="es-MX"/>
        </w:rPr>
        <w:t>o</w:t>
      </w:r>
      <w:r w:rsidRPr="0050035B">
        <w:rPr>
          <w:rFonts w:ascii="Century Gothic" w:hAnsi="Century Gothic"/>
          <w:lang w:val="es-MX"/>
        </w:rPr>
        <w:t>s</w:t>
      </w:r>
      <w:r w:rsidR="000F2E42" w:rsidRPr="0050035B">
        <w:rPr>
          <w:rFonts w:ascii="Century Gothic" w:hAnsi="Century Gothic"/>
          <w:lang w:val="es-MX"/>
        </w:rPr>
        <w:t xml:space="preserve"> financiamientos y obligaciones</w:t>
      </w:r>
      <w:r w:rsidRPr="0050035B">
        <w:rPr>
          <w:rFonts w:ascii="Century Gothic" w:hAnsi="Century Gothic"/>
          <w:lang w:val="es-MX"/>
        </w:rPr>
        <w:t xml:space="preserve">, el artículo 25 establece: </w:t>
      </w:r>
      <w:r w:rsidR="00DD4D8A" w:rsidRPr="0050035B">
        <w:rPr>
          <w:rFonts w:ascii="Century Gothic" w:hAnsi="Century Gothic"/>
          <w:lang w:val="es-MX"/>
        </w:rPr>
        <w:t xml:space="preserve">“Los Entes Públicos estarán obligados a contratar los Financiamientos y Obligaciones a su cargo bajo las mejores condiciones de mercado. </w:t>
      </w:r>
    </w:p>
    <w:p w:rsidR="00E6020E" w:rsidRPr="0050035B" w:rsidRDefault="00E6020E" w:rsidP="00DD4D8A">
      <w:pPr>
        <w:spacing w:line="360" w:lineRule="auto"/>
        <w:ind w:firstLine="720"/>
        <w:jc w:val="both"/>
        <w:rPr>
          <w:rFonts w:ascii="Century Gothic" w:hAnsi="Century Gothic"/>
          <w:lang w:val="es-MX"/>
        </w:rPr>
      </w:pPr>
    </w:p>
    <w:p w:rsidR="00DD4D8A" w:rsidRPr="0050035B" w:rsidRDefault="00DD4D8A" w:rsidP="00DD4D8A">
      <w:pPr>
        <w:spacing w:line="360" w:lineRule="auto"/>
        <w:ind w:firstLine="720"/>
        <w:jc w:val="both"/>
        <w:rPr>
          <w:rFonts w:ascii="Century Gothic" w:hAnsi="Century Gothic"/>
          <w:lang w:val="es-MX"/>
        </w:rPr>
      </w:pPr>
      <w:r w:rsidRPr="0050035B">
        <w:rPr>
          <w:rFonts w:ascii="Century Gothic" w:hAnsi="Century Gothic"/>
          <w:lang w:val="es-MX"/>
        </w:rPr>
        <w:t>Una vez celebrados los instrumentos jurídicos relativos, a más tardar 10 días posteriores a la inscripción en el Registro Público Único, el Ente Público deberá publicar en su página oficial de Internet dichos instrumentos. Asimismo, el Ente Público presentará en los informes trimestrales a que se refiere la Ley General de Contabilidad Gubernamental y en su respectiva cuenta pública, la información detallada de cada Financiamiento u Obligación contraída en los términos de este Capítulo, incluyendo como mínimo, el importe, tasa, plazo, comisiones y demás accesorios pactados”.</w:t>
      </w:r>
      <w:r w:rsidRPr="0050035B">
        <w:rPr>
          <w:rFonts w:ascii="Century Gothic" w:hAnsi="Century Gothic"/>
          <w:lang w:val="es-MX"/>
        </w:rPr>
        <w:cr/>
      </w:r>
    </w:p>
    <w:p w:rsidR="00DD4D8A" w:rsidRPr="0050035B" w:rsidRDefault="00DD4D8A" w:rsidP="00DD4D8A">
      <w:pPr>
        <w:spacing w:line="360" w:lineRule="auto"/>
        <w:ind w:firstLine="720"/>
        <w:jc w:val="both"/>
        <w:rPr>
          <w:rFonts w:ascii="Century Gothic" w:hAnsi="Century Gothic"/>
          <w:lang w:val="es-MX"/>
        </w:rPr>
      </w:pPr>
      <w:r w:rsidRPr="0050035B">
        <w:rPr>
          <w:rFonts w:ascii="Century Gothic" w:hAnsi="Century Gothic"/>
          <w:lang w:val="es-MX"/>
        </w:rPr>
        <w:t>El</w:t>
      </w:r>
      <w:r w:rsidR="000F2E42" w:rsidRPr="0050035B">
        <w:rPr>
          <w:rFonts w:ascii="Century Gothic" w:hAnsi="Century Gothic"/>
          <w:lang w:val="es-MX"/>
        </w:rPr>
        <w:t xml:space="preserve"> artículo </w:t>
      </w:r>
      <w:r w:rsidR="00C610DB" w:rsidRPr="0050035B">
        <w:rPr>
          <w:rFonts w:ascii="Century Gothic" w:hAnsi="Century Gothic"/>
          <w:lang w:val="es-MX"/>
        </w:rPr>
        <w:t>26</w:t>
      </w:r>
      <w:r w:rsidR="000F2E42" w:rsidRPr="0050035B">
        <w:rPr>
          <w:rFonts w:ascii="Century Gothic" w:hAnsi="Century Gothic"/>
          <w:lang w:val="es-MX"/>
        </w:rPr>
        <w:t xml:space="preserve"> </w:t>
      </w:r>
      <w:r w:rsidR="00726A03" w:rsidRPr="0050035B">
        <w:rPr>
          <w:rFonts w:ascii="Century Gothic" w:hAnsi="Century Gothic"/>
          <w:lang w:val="es-MX"/>
        </w:rPr>
        <w:t xml:space="preserve">estatuye </w:t>
      </w:r>
      <w:r w:rsidR="000F2E42" w:rsidRPr="0050035B">
        <w:rPr>
          <w:rFonts w:ascii="Century Gothic" w:hAnsi="Century Gothic"/>
          <w:lang w:val="es-MX"/>
        </w:rPr>
        <w:t xml:space="preserve">que </w:t>
      </w:r>
      <w:r w:rsidRPr="0050035B">
        <w:rPr>
          <w:rFonts w:ascii="Century Gothic" w:hAnsi="Century Gothic"/>
          <w:lang w:val="es-MX"/>
        </w:rPr>
        <w:t>“El secretario de finanzas, tesorero municipal o su equivalente de cada Ente Público, según corresponda a su ámbito de competencia, será el responsable de confirmar que el Financiamiento fue celebrado en las mejores condiciones del mercado”.</w:t>
      </w:r>
    </w:p>
    <w:p w:rsidR="00DD4D8A" w:rsidRPr="0050035B" w:rsidRDefault="00DD4D8A" w:rsidP="00741729">
      <w:pPr>
        <w:spacing w:line="360" w:lineRule="auto"/>
        <w:ind w:firstLine="720"/>
        <w:jc w:val="both"/>
        <w:rPr>
          <w:rFonts w:ascii="Century Gothic" w:hAnsi="Century Gothic"/>
          <w:lang w:val="es-MX"/>
        </w:rPr>
      </w:pPr>
    </w:p>
    <w:p w:rsidR="00643208" w:rsidRPr="0050035B" w:rsidRDefault="00CF13F6" w:rsidP="00643208">
      <w:pPr>
        <w:spacing w:line="360" w:lineRule="auto"/>
        <w:jc w:val="both"/>
        <w:rPr>
          <w:rFonts w:ascii="Century Gothic" w:hAnsi="Century Gothic"/>
          <w:b/>
          <w:lang w:val="es-MX"/>
        </w:rPr>
      </w:pPr>
      <w:r w:rsidRPr="00785FD1">
        <w:rPr>
          <w:rFonts w:ascii="Century Gothic" w:hAnsi="Century Gothic"/>
          <w:b/>
          <w:lang w:val="es-MX"/>
        </w:rPr>
        <w:t>1.</w:t>
      </w:r>
      <w:r w:rsidR="008B37F4" w:rsidRPr="00785FD1">
        <w:rPr>
          <w:rFonts w:ascii="Century Gothic" w:hAnsi="Century Gothic"/>
          <w:b/>
          <w:lang w:val="es-MX"/>
        </w:rPr>
        <w:t>2.4</w:t>
      </w:r>
      <w:r w:rsidR="000F2E42" w:rsidRPr="00785FD1">
        <w:rPr>
          <w:rFonts w:ascii="Century Gothic" w:hAnsi="Century Gothic"/>
          <w:b/>
          <w:lang w:val="es-MX"/>
        </w:rPr>
        <w:t xml:space="preserve">. </w:t>
      </w:r>
      <w:r w:rsidR="00643208" w:rsidRPr="00785FD1">
        <w:rPr>
          <w:rFonts w:ascii="Century Gothic" w:hAnsi="Century Gothic"/>
          <w:b/>
          <w:lang w:val="es-MX"/>
        </w:rPr>
        <w:t>Ley General de Contabilidad Gubernamental</w:t>
      </w:r>
      <w:r w:rsidR="00643208" w:rsidRPr="0050035B">
        <w:rPr>
          <w:rFonts w:ascii="Century Gothic" w:hAnsi="Century Gothic"/>
          <w:b/>
          <w:lang w:val="es-MX"/>
        </w:rPr>
        <w:t xml:space="preserve"> </w:t>
      </w:r>
    </w:p>
    <w:p w:rsidR="000F2E42" w:rsidRPr="0050035B" w:rsidRDefault="00C05146" w:rsidP="00445763">
      <w:pPr>
        <w:spacing w:line="360" w:lineRule="auto"/>
        <w:jc w:val="both"/>
        <w:rPr>
          <w:rFonts w:ascii="Century Gothic" w:hAnsi="Century Gothic"/>
          <w:lang w:val="es-MX"/>
        </w:rPr>
      </w:pPr>
      <w:r w:rsidRPr="0050035B">
        <w:rPr>
          <w:rFonts w:ascii="Century Gothic" w:hAnsi="Century Gothic"/>
          <w:lang w:val="es-MX"/>
        </w:rPr>
        <w:lastRenderedPageBreak/>
        <w:t xml:space="preserve">En el </w:t>
      </w:r>
      <w:r w:rsidR="00643208" w:rsidRPr="0050035B">
        <w:rPr>
          <w:rFonts w:ascii="Century Gothic" w:hAnsi="Century Gothic"/>
          <w:lang w:val="es-MX"/>
        </w:rPr>
        <w:t xml:space="preserve">artículo </w:t>
      </w:r>
      <w:r w:rsidR="007663B9" w:rsidRPr="0050035B">
        <w:rPr>
          <w:rFonts w:ascii="Century Gothic" w:hAnsi="Century Gothic"/>
          <w:lang w:val="es-MX"/>
        </w:rPr>
        <w:t xml:space="preserve">1º </w:t>
      </w:r>
      <w:r w:rsidR="00643208" w:rsidRPr="0050035B">
        <w:rPr>
          <w:rFonts w:ascii="Century Gothic" w:hAnsi="Century Gothic"/>
          <w:lang w:val="es-MX"/>
        </w:rPr>
        <w:t xml:space="preserve">establece que la ley: “… tiene como objeto establecer los </w:t>
      </w:r>
      <w:r w:rsidR="007F5BAB" w:rsidRPr="0050035B">
        <w:rPr>
          <w:rFonts w:ascii="Century Gothic" w:hAnsi="Century Gothic"/>
          <w:lang w:val="es-MX"/>
        </w:rPr>
        <w:t>criterios generales que regirán la c</w:t>
      </w:r>
      <w:r w:rsidR="00643208" w:rsidRPr="0050035B">
        <w:rPr>
          <w:rFonts w:ascii="Century Gothic" w:hAnsi="Century Gothic"/>
          <w:lang w:val="es-MX"/>
        </w:rPr>
        <w:t xml:space="preserve">ontabilidad </w:t>
      </w:r>
      <w:r w:rsidR="007F5BAB" w:rsidRPr="0050035B">
        <w:rPr>
          <w:rFonts w:ascii="Century Gothic" w:hAnsi="Century Gothic"/>
          <w:lang w:val="es-MX"/>
        </w:rPr>
        <w:t>g</w:t>
      </w:r>
      <w:r w:rsidR="00643208" w:rsidRPr="0050035B">
        <w:rPr>
          <w:rFonts w:ascii="Century Gothic" w:hAnsi="Century Gothic"/>
          <w:lang w:val="es-MX"/>
        </w:rPr>
        <w:t xml:space="preserve">ubernamental y la emisión de información financiera de los entes públicos, con el fin de lograr su adecuada armonización”. </w:t>
      </w:r>
    </w:p>
    <w:p w:rsidR="000F2E42" w:rsidRPr="0050035B" w:rsidRDefault="000F2E42" w:rsidP="00445763">
      <w:pPr>
        <w:spacing w:line="360" w:lineRule="auto"/>
        <w:jc w:val="both"/>
        <w:rPr>
          <w:rFonts w:ascii="Century Gothic" w:hAnsi="Century Gothic"/>
          <w:lang w:val="es-MX"/>
        </w:rPr>
      </w:pPr>
    </w:p>
    <w:p w:rsidR="00643208" w:rsidRPr="0050035B" w:rsidRDefault="00643208" w:rsidP="00653FFC">
      <w:pPr>
        <w:spacing w:line="360" w:lineRule="auto"/>
        <w:ind w:firstLine="720"/>
        <w:jc w:val="both"/>
        <w:rPr>
          <w:rFonts w:ascii="Century Gothic" w:hAnsi="Century Gothic"/>
          <w:lang w:val="es-MX"/>
        </w:rPr>
      </w:pPr>
      <w:r w:rsidRPr="0050035B">
        <w:rPr>
          <w:rFonts w:ascii="Century Gothic" w:hAnsi="Century Gothic"/>
          <w:lang w:val="es-MX"/>
        </w:rPr>
        <w:t xml:space="preserve">En su artículo 2 expresa: “Los entes públicos aplicarán la </w:t>
      </w:r>
      <w:r w:rsidR="003C4B26" w:rsidRPr="0050035B">
        <w:rPr>
          <w:rFonts w:ascii="Century Gothic" w:hAnsi="Century Gothic"/>
          <w:lang w:val="es-MX"/>
        </w:rPr>
        <w:t>Contabilidad G</w:t>
      </w:r>
      <w:r w:rsidRPr="0050035B">
        <w:rPr>
          <w:rFonts w:ascii="Century Gothic" w:hAnsi="Century Gothic"/>
          <w:lang w:val="es-MX"/>
        </w:rPr>
        <w:t>ubernamental para facilitar el registro y la fiscalización de activos, pasivos, ingresos y gastos y, en general, contribuir a medir la eficacia, economía y eficiencia del gasto e ingresos públicos…”.</w:t>
      </w:r>
    </w:p>
    <w:p w:rsidR="00643208" w:rsidRPr="0050035B" w:rsidRDefault="00643208" w:rsidP="00643208">
      <w:pPr>
        <w:spacing w:line="360" w:lineRule="auto"/>
        <w:jc w:val="both"/>
        <w:rPr>
          <w:rFonts w:ascii="Century Gothic" w:hAnsi="Century Gothic"/>
          <w:lang w:val="es-MX"/>
        </w:rPr>
      </w:pPr>
      <w:r w:rsidRPr="0050035B">
        <w:rPr>
          <w:rFonts w:ascii="Century Gothic" w:hAnsi="Century Gothic"/>
          <w:lang w:val="es-MX"/>
        </w:rPr>
        <w:tab/>
      </w:r>
    </w:p>
    <w:p w:rsidR="00643208" w:rsidRPr="0050035B" w:rsidRDefault="00643208" w:rsidP="00495186">
      <w:pPr>
        <w:pStyle w:val="Texto"/>
        <w:spacing w:line="360" w:lineRule="auto"/>
        <w:ind w:firstLine="289"/>
        <w:rPr>
          <w:rFonts w:ascii="Century Gothic" w:eastAsiaTheme="minorEastAsia" w:hAnsi="Century Gothic" w:cstheme="minorBidi"/>
          <w:sz w:val="24"/>
          <w:szCs w:val="24"/>
          <w:lang w:val="es-MX" w:eastAsia="en-US"/>
        </w:rPr>
      </w:pPr>
      <w:r w:rsidRPr="0050035B">
        <w:rPr>
          <w:rFonts w:ascii="Century Gothic" w:eastAsiaTheme="minorEastAsia" w:hAnsi="Century Gothic" w:cstheme="minorBidi"/>
          <w:sz w:val="24"/>
          <w:szCs w:val="24"/>
          <w:lang w:val="es-MX" w:eastAsia="en-US"/>
        </w:rPr>
        <w:tab/>
        <w:t xml:space="preserve">En el artículo 61 </w:t>
      </w:r>
      <w:r w:rsidR="002C0B1B" w:rsidRPr="0050035B">
        <w:rPr>
          <w:rFonts w:ascii="Century Gothic" w:eastAsiaTheme="minorEastAsia" w:hAnsi="Century Gothic" w:cstheme="minorBidi"/>
          <w:sz w:val="24"/>
          <w:szCs w:val="24"/>
          <w:lang w:val="es-MX" w:eastAsia="en-US"/>
        </w:rPr>
        <w:t>la ley</w:t>
      </w:r>
      <w:r w:rsidRPr="0050035B">
        <w:rPr>
          <w:rFonts w:ascii="Century Gothic" w:eastAsiaTheme="minorEastAsia" w:hAnsi="Century Gothic" w:cstheme="minorBidi"/>
          <w:sz w:val="24"/>
          <w:szCs w:val="24"/>
          <w:lang w:val="es-MX" w:eastAsia="en-US"/>
        </w:rPr>
        <w:t xml:space="preserve"> menciona que: “Además de la información prevista en las respectivas leyes en materia financiera, fiscal y presupuestaria… los </w:t>
      </w:r>
      <w:r w:rsidR="00373DAB" w:rsidRPr="0050035B">
        <w:rPr>
          <w:rFonts w:ascii="Century Gothic" w:eastAsiaTheme="minorEastAsia" w:hAnsi="Century Gothic" w:cstheme="minorBidi"/>
          <w:sz w:val="24"/>
          <w:szCs w:val="24"/>
          <w:lang w:val="es-MX" w:eastAsia="en-US"/>
        </w:rPr>
        <w:t>Municipio</w:t>
      </w:r>
      <w:r w:rsidRPr="0050035B">
        <w:rPr>
          <w:rFonts w:ascii="Century Gothic" w:eastAsiaTheme="minorEastAsia" w:hAnsi="Century Gothic" w:cstheme="minorBidi"/>
          <w:sz w:val="24"/>
          <w:szCs w:val="24"/>
          <w:lang w:val="es-MX" w:eastAsia="en-US"/>
        </w:rPr>
        <w:t>s… incluirán en sus respectivas leyes de ingresos y presupuestos de egresos u ordenamientos equivalentes, apartados específicos con la información siguiente:</w:t>
      </w:r>
      <w:r w:rsidR="00DD79E1" w:rsidRPr="0050035B">
        <w:rPr>
          <w:rFonts w:ascii="Century Gothic" w:eastAsiaTheme="minorEastAsia" w:hAnsi="Century Gothic" w:cstheme="minorBidi"/>
          <w:sz w:val="24"/>
          <w:szCs w:val="24"/>
          <w:lang w:val="es-MX" w:eastAsia="en-US"/>
        </w:rPr>
        <w:t xml:space="preserve"> I. Leyes de Ingresos:</w:t>
      </w:r>
    </w:p>
    <w:p w:rsidR="00643208" w:rsidRPr="0050035B" w:rsidRDefault="00643208" w:rsidP="00643208">
      <w:pPr>
        <w:pStyle w:val="Texto"/>
        <w:spacing w:after="0" w:line="360" w:lineRule="auto"/>
        <w:rPr>
          <w:rFonts w:ascii="Century Gothic" w:eastAsiaTheme="minorEastAsia" w:hAnsi="Century Gothic" w:cstheme="minorBidi"/>
          <w:sz w:val="24"/>
          <w:szCs w:val="24"/>
          <w:lang w:val="es-MX" w:eastAsia="en-US"/>
        </w:rPr>
      </w:pPr>
    </w:p>
    <w:p w:rsidR="00643208" w:rsidRPr="0050035B" w:rsidRDefault="00643208" w:rsidP="00C17543">
      <w:pPr>
        <w:pStyle w:val="Prrafodelista"/>
        <w:numPr>
          <w:ilvl w:val="0"/>
          <w:numId w:val="1"/>
        </w:numPr>
        <w:spacing w:line="360" w:lineRule="auto"/>
        <w:ind w:left="284" w:hanging="284"/>
        <w:jc w:val="both"/>
        <w:rPr>
          <w:rFonts w:ascii="Century Gothic" w:hAnsi="Century Gothic"/>
          <w:lang w:val="es-MX"/>
        </w:rPr>
      </w:pPr>
      <w:r w:rsidRPr="0050035B">
        <w:rPr>
          <w:rFonts w:ascii="Century Gothic" w:hAnsi="Century Gothic"/>
          <w:lang w:val="es-MX"/>
        </w:rPr>
        <w:t>Las fuentes de sus ingresos sean ordinarios o extraordinarios, desagregando el monto de</w:t>
      </w:r>
      <w:r w:rsidR="003C4B26" w:rsidRPr="0050035B">
        <w:rPr>
          <w:rFonts w:ascii="Century Gothic" w:hAnsi="Century Gothic"/>
          <w:lang w:val="es-MX"/>
        </w:rPr>
        <w:t xml:space="preserve"> cada una y, en el caso de las Entidades F</w:t>
      </w:r>
      <w:r w:rsidRPr="0050035B">
        <w:rPr>
          <w:rFonts w:ascii="Century Gothic" w:hAnsi="Century Gothic"/>
          <w:lang w:val="es-MX"/>
        </w:rPr>
        <w:t xml:space="preserve">ederativas y </w:t>
      </w:r>
      <w:r w:rsidR="00373DAB" w:rsidRPr="0050035B">
        <w:rPr>
          <w:rFonts w:ascii="Century Gothic" w:hAnsi="Century Gothic"/>
          <w:lang w:val="es-MX"/>
        </w:rPr>
        <w:t>Municipio</w:t>
      </w:r>
      <w:r w:rsidRPr="0050035B">
        <w:rPr>
          <w:rFonts w:ascii="Century Gothic" w:hAnsi="Century Gothic"/>
          <w:lang w:val="es-MX"/>
        </w:rPr>
        <w:t>s, incluyendo los recursos federales que se estime serán transferidos por la Federación a través de los fondos de participaciones y aportaciones federales, subsidios y convenios de reasignación; así como los ingresos recaudados con base en las disposiciones locales, y</w:t>
      </w:r>
    </w:p>
    <w:p w:rsidR="00A20945" w:rsidRPr="0050035B" w:rsidRDefault="00A20945" w:rsidP="00C17543">
      <w:pPr>
        <w:pStyle w:val="Prrafodelista"/>
        <w:spacing w:line="360" w:lineRule="auto"/>
        <w:ind w:left="284" w:hanging="284"/>
        <w:jc w:val="both"/>
        <w:rPr>
          <w:rFonts w:ascii="Century Gothic" w:hAnsi="Century Gothic"/>
          <w:lang w:val="es-MX"/>
        </w:rPr>
      </w:pPr>
    </w:p>
    <w:p w:rsidR="00643208" w:rsidRPr="0050035B" w:rsidRDefault="00643208" w:rsidP="00C17543">
      <w:pPr>
        <w:pStyle w:val="Prrafodelista"/>
        <w:numPr>
          <w:ilvl w:val="0"/>
          <w:numId w:val="1"/>
        </w:numPr>
        <w:spacing w:line="360" w:lineRule="auto"/>
        <w:ind w:left="284" w:hanging="284"/>
        <w:jc w:val="both"/>
        <w:rPr>
          <w:rFonts w:ascii="Century Gothic" w:hAnsi="Century Gothic"/>
          <w:lang w:val="es-MX"/>
        </w:rPr>
      </w:pPr>
      <w:r w:rsidRPr="0050035B">
        <w:rPr>
          <w:rFonts w:ascii="Century Gothic" w:hAnsi="Century Gothic"/>
          <w:lang w:val="es-MX"/>
        </w:rPr>
        <w:t xml:space="preserve">Las obligaciones de garantía o pago causante de deuda pública u otros pasivos de cualquier naturaleza con contrapartes, proveedores, contratistas y acreedores, incluyendo la disposición de bienes o expectativa de derechos sobre éstos, contraídos directamente o a través </w:t>
      </w:r>
      <w:r w:rsidRPr="0050035B">
        <w:rPr>
          <w:rFonts w:ascii="Century Gothic" w:hAnsi="Century Gothic"/>
          <w:lang w:val="es-MX"/>
        </w:rPr>
        <w:lastRenderedPageBreak/>
        <w:t>de cualquier instrumento jurídico considerado o no dentro de la estructura orgánica de la administración pública correspondiente, y la celebración de actos jurídicos análogos a los anteriores y sin perjuicio de que dichas obligaciones tengan como propósito el canje o refinanciamiento de otras o de que sea considerado o no como deuda pública en los ordenamientos aplicables. Asimismo, la composición de dichas obligaciones y el de</w:t>
      </w:r>
      <w:r w:rsidR="007C14DC" w:rsidRPr="0050035B">
        <w:rPr>
          <w:rFonts w:ascii="Century Gothic" w:hAnsi="Century Gothic"/>
          <w:lang w:val="es-MX"/>
        </w:rPr>
        <w:t>stino de los recursos obtenidos</w:t>
      </w:r>
      <w:r w:rsidRPr="0050035B">
        <w:rPr>
          <w:rFonts w:ascii="Century Gothic" w:hAnsi="Century Gothic"/>
          <w:lang w:val="es-MX"/>
        </w:rPr>
        <w:t>”</w:t>
      </w:r>
      <w:r w:rsidR="007663B9" w:rsidRPr="0050035B">
        <w:rPr>
          <w:rFonts w:ascii="Century Gothic" w:hAnsi="Century Gothic"/>
          <w:lang w:val="es-MX"/>
        </w:rPr>
        <w:t>.</w:t>
      </w:r>
    </w:p>
    <w:p w:rsidR="00137425" w:rsidRPr="0050035B" w:rsidRDefault="00137425" w:rsidP="00137425">
      <w:pPr>
        <w:pStyle w:val="Texto"/>
        <w:spacing w:after="0" w:line="360" w:lineRule="auto"/>
        <w:ind w:firstLine="0"/>
        <w:rPr>
          <w:rFonts w:ascii="Century Gothic" w:eastAsiaTheme="minorEastAsia" w:hAnsi="Century Gothic" w:cstheme="minorBidi"/>
          <w:sz w:val="24"/>
          <w:szCs w:val="24"/>
          <w:lang w:val="es-MX" w:eastAsia="en-US"/>
        </w:rPr>
      </w:pPr>
    </w:p>
    <w:p w:rsidR="00643208" w:rsidRPr="0050035B" w:rsidRDefault="005B5B06" w:rsidP="00E62888">
      <w:pPr>
        <w:pStyle w:val="Texto"/>
        <w:spacing w:after="0" w:line="360" w:lineRule="auto"/>
        <w:ind w:firstLine="720"/>
        <w:rPr>
          <w:rFonts w:ascii="Century Gothic" w:eastAsiaTheme="minorEastAsia" w:hAnsi="Century Gothic" w:cstheme="minorBidi"/>
          <w:sz w:val="24"/>
          <w:szCs w:val="24"/>
          <w:lang w:val="es-MX" w:eastAsia="en-US"/>
        </w:rPr>
      </w:pPr>
      <w:r w:rsidRPr="0050035B">
        <w:rPr>
          <w:rFonts w:ascii="Century Gothic" w:eastAsiaTheme="minorEastAsia" w:hAnsi="Century Gothic" w:cstheme="minorBidi"/>
          <w:sz w:val="24"/>
          <w:szCs w:val="24"/>
          <w:lang w:val="es-MX" w:eastAsia="en-US"/>
        </w:rPr>
        <w:t>Por su parte</w:t>
      </w:r>
      <w:r w:rsidR="00137425" w:rsidRPr="0050035B">
        <w:rPr>
          <w:rFonts w:ascii="Century Gothic" w:eastAsiaTheme="minorEastAsia" w:hAnsi="Century Gothic" w:cstheme="minorBidi"/>
          <w:sz w:val="24"/>
          <w:szCs w:val="24"/>
          <w:lang w:val="es-MX" w:eastAsia="en-US"/>
        </w:rPr>
        <w:t>, el</w:t>
      </w:r>
      <w:r w:rsidR="000F2E42" w:rsidRPr="0050035B">
        <w:rPr>
          <w:rFonts w:ascii="Century Gothic" w:eastAsiaTheme="minorEastAsia" w:hAnsi="Century Gothic" w:cstheme="minorBidi"/>
          <w:sz w:val="24"/>
          <w:szCs w:val="24"/>
          <w:lang w:val="es-MX" w:eastAsia="en-US"/>
        </w:rPr>
        <w:t xml:space="preserve"> a</w:t>
      </w:r>
      <w:r w:rsidR="00C117A4" w:rsidRPr="0050035B">
        <w:rPr>
          <w:rFonts w:ascii="Century Gothic" w:eastAsiaTheme="minorEastAsia" w:hAnsi="Century Gothic" w:cstheme="minorBidi"/>
          <w:sz w:val="24"/>
          <w:szCs w:val="24"/>
          <w:lang w:val="es-MX" w:eastAsia="en-US"/>
        </w:rPr>
        <w:t xml:space="preserve">rtículo </w:t>
      </w:r>
      <w:r w:rsidR="00137425" w:rsidRPr="0050035B">
        <w:rPr>
          <w:rFonts w:ascii="Century Gothic" w:eastAsiaTheme="minorEastAsia" w:hAnsi="Century Gothic" w:cstheme="minorBidi"/>
          <w:sz w:val="24"/>
          <w:szCs w:val="24"/>
          <w:lang w:val="es-MX" w:eastAsia="en-US"/>
        </w:rPr>
        <w:t>63 establece</w:t>
      </w:r>
      <w:r w:rsidR="000F2E42" w:rsidRPr="0050035B">
        <w:rPr>
          <w:rFonts w:ascii="Century Gothic" w:eastAsiaTheme="minorEastAsia" w:hAnsi="Century Gothic" w:cstheme="minorBidi"/>
          <w:sz w:val="24"/>
          <w:szCs w:val="24"/>
          <w:lang w:val="es-MX" w:eastAsia="en-US"/>
        </w:rPr>
        <w:t xml:space="preserve"> e</w:t>
      </w:r>
      <w:r w:rsidR="00E62888" w:rsidRPr="0050035B">
        <w:rPr>
          <w:rFonts w:ascii="Century Gothic" w:eastAsiaTheme="minorEastAsia" w:hAnsi="Century Gothic" w:cstheme="minorBidi"/>
          <w:sz w:val="24"/>
          <w:szCs w:val="24"/>
          <w:lang w:val="es-MX" w:eastAsia="en-US"/>
        </w:rPr>
        <w:t xml:space="preserve">n materia de transparencia que “la </w:t>
      </w:r>
      <w:r w:rsidR="00C117A4" w:rsidRPr="0050035B">
        <w:rPr>
          <w:rFonts w:ascii="Century Gothic" w:eastAsiaTheme="minorEastAsia" w:hAnsi="Century Gothic" w:cstheme="minorBidi"/>
          <w:sz w:val="24"/>
          <w:szCs w:val="24"/>
          <w:lang w:val="es-MX" w:eastAsia="en-US"/>
        </w:rPr>
        <w:t xml:space="preserve">Iniciativa de Ley de Ingresos, el Proyecto de Presupuesto de Egresos y demás documentos de los entes públicos que dispongan los ordenamientos legales, deberán publicarse en las </w:t>
      </w:r>
      <w:r w:rsidR="000F2E42" w:rsidRPr="0050035B">
        <w:rPr>
          <w:rFonts w:ascii="Century Gothic" w:eastAsiaTheme="minorEastAsia" w:hAnsi="Century Gothic" w:cstheme="minorBidi"/>
          <w:sz w:val="24"/>
          <w:szCs w:val="24"/>
          <w:lang w:val="es-MX" w:eastAsia="en-US"/>
        </w:rPr>
        <w:t>respectivas páginas de Internet”.</w:t>
      </w:r>
    </w:p>
    <w:p w:rsidR="005B5B06" w:rsidRPr="0050035B" w:rsidRDefault="005B5B06" w:rsidP="003877DB">
      <w:pPr>
        <w:pStyle w:val="Texto"/>
        <w:spacing w:after="0" w:line="360" w:lineRule="auto"/>
        <w:ind w:firstLine="360"/>
        <w:rPr>
          <w:rFonts w:ascii="Century Gothic" w:eastAsiaTheme="minorEastAsia" w:hAnsi="Century Gothic" w:cstheme="minorBidi"/>
          <w:sz w:val="24"/>
          <w:szCs w:val="24"/>
          <w:lang w:val="es-MX" w:eastAsia="en-US"/>
        </w:rPr>
      </w:pPr>
    </w:p>
    <w:p w:rsidR="005B5B06" w:rsidRPr="0050035B" w:rsidRDefault="005B5B06" w:rsidP="00E62888">
      <w:pPr>
        <w:pStyle w:val="Texto"/>
        <w:spacing w:line="360" w:lineRule="auto"/>
        <w:ind w:firstLine="720"/>
        <w:rPr>
          <w:rFonts w:ascii="Century Gothic" w:eastAsiaTheme="minorEastAsia" w:hAnsi="Century Gothic" w:cstheme="minorBidi"/>
          <w:sz w:val="24"/>
          <w:szCs w:val="24"/>
          <w:lang w:val="es-MX" w:eastAsia="en-US"/>
        </w:rPr>
      </w:pPr>
      <w:r w:rsidRPr="0050035B">
        <w:rPr>
          <w:rFonts w:ascii="Century Gothic" w:eastAsiaTheme="minorEastAsia" w:hAnsi="Century Gothic" w:cstheme="minorBidi"/>
          <w:sz w:val="24"/>
          <w:szCs w:val="24"/>
          <w:lang w:val="es-MX" w:eastAsia="en-US"/>
        </w:rPr>
        <w:t xml:space="preserve">Finalmente, el artículo 66 refiere la publicación de los calendarios de ingresos y egresos como a continuación </w:t>
      </w:r>
      <w:r w:rsidR="00C15636" w:rsidRPr="0050035B">
        <w:rPr>
          <w:rFonts w:ascii="Century Gothic" w:eastAsiaTheme="minorEastAsia" w:hAnsi="Century Gothic" w:cstheme="minorBidi"/>
          <w:sz w:val="24"/>
          <w:szCs w:val="24"/>
          <w:lang w:val="es-MX" w:eastAsia="en-US"/>
        </w:rPr>
        <w:t>se expone</w:t>
      </w:r>
      <w:r w:rsidRPr="0050035B">
        <w:rPr>
          <w:rFonts w:ascii="Century Gothic" w:eastAsiaTheme="minorEastAsia" w:hAnsi="Century Gothic" w:cstheme="minorBidi"/>
          <w:sz w:val="24"/>
          <w:szCs w:val="24"/>
          <w:lang w:val="es-MX" w:eastAsia="en-US"/>
        </w:rPr>
        <w:t xml:space="preserve"> “</w:t>
      </w:r>
      <w:r w:rsidR="00C15636" w:rsidRPr="0050035B">
        <w:rPr>
          <w:rFonts w:ascii="Century Gothic" w:eastAsiaTheme="minorEastAsia" w:hAnsi="Century Gothic" w:cstheme="minorBidi"/>
          <w:sz w:val="24"/>
          <w:szCs w:val="24"/>
          <w:lang w:val="es-MX" w:eastAsia="en-US"/>
        </w:rPr>
        <w:t xml:space="preserve">Las secretarías de finanzas o sus equivalentes de las entidades federativas, así como las tesorerías de los municipios deberán publicar en Internet, los calendarios de </w:t>
      </w:r>
      <w:r w:rsidR="003A6064" w:rsidRPr="0050035B">
        <w:rPr>
          <w:rFonts w:ascii="Century Gothic" w:eastAsiaTheme="minorEastAsia" w:hAnsi="Century Gothic" w:cstheme="minorBidi"/>
          <w:sz w:val="24"/>
          <w:szCs w:val="24"/>
          <w:lang w:val="es-MX" w:eastAsia="en-US"/>
        </w:rPr>
        <w:t>ingresos,</w:t>
      </w:r>
      <w:r w:rsidR="00C15636" w:rsidRPr="0050035B">
        <w:rPr>
          <w:rFonts w:ascii="Century Gothic" w:eastAsiaTheme="minorEastAsia" w:hAnsi="Century Gothic" w:cstheme="minorBidi"/>
          <w:sz w:val="24"/>
          <w:szCs w:val="24"/>
          <w:lang w:val="es-MX" w:eastAsia="en-US"/>
        </w:rPr>
        <w:t xml:space="preserve"> así como los calendarios de presupuesto de egresos con base mensual, en los formatos y plazos que determine el consejo”.</w:t>
      </w:r>
    </w:p>
    <w:p w:rsidR="00DB2B60" w:rsidRDefault="00DB2B60" w:rsidP="00445763">
      <w:pPr>
        <w:spacing w:line="360" w:lineRule="auto"/>
        <w:jc w:val="both"/>
        <w:rPr>
          <w:rFonts w:ascii="Century Gothic" w:hAnsi="Century Gothic"/>
          <w:b/>
          <w:lang w:val="es-MX"/>
        </w:rPr>
      </w:pPr>
    </w:p>
    <w:p w:rsidR="008B52D3" w:rsidRPr="0050035B" w:rsidRDefault="00CF13F6" w:rsidP="00445763">
      <w:pPr>
        <w:spacing w:line="360" w:lineRule="auto"/>
        <w:jc w:val="both"/>
        <w:rPr>
          <w:rFonts w:ascii="Century Gothic" w:hAnsi="Century Gothic"/>
          <w:b/>
          <w:lang w:val="es-MX"/>
        </w:rPr>
      </w:pPr>
      <w:r w:rsidRPr="0050035B">
        <w:rPr>
          <w:rFonts w:ascii="Century Gothic" w:hAnsi="Century Gothic"/>
          <w:b/>
          <w:lang w:val="es-MX"/>
        </w:rPr>
        <w:t>1.</w:t>
      </w:r>
      <w:r w:rsidR="008B37F4" w:rsidRPr="0050035B">
        <w:rPr>
          <w:rFonts w:ascii="Century Gothic" w:hAnsi="Century Gothic"/>
          <w:b/>
          <w:lang w:val="es-MX"/>
        </w:rPr>
        <w:t>2.5</w:t>
      </w:r>
      <w:r w:rsidR="00643208" w:rsidRPr="0050035B">
        <w:rPr>
          <w:rFonts w:ascii="Century Gothic" w:hAnsi="Century Gothic"/>
          <w:b/>
          <w:lang w:val="es-MX"/>
        </w:rPr>
        <w:t xml:space="preserve"> Norma para armonizar la presentación de la información adicional a la Iniciativa de la Ley de Ingresos </w:t>
      </w:r>
      <w:r w:rsidR="00E62888" w:rsidRPr="0050035B">
        <w:rPr>
          <w:rFonts w:ascii="Century Gothic" w:hAnsi="Century Gothic"/>
          <w:b/>
          <w:lang w:val="es-MX"/>
        </w:rPr>
        <w:t>(CONAC)</w:t>
      </w:r>
    </w:p>
    <w:p w:rsidR="00643208" w:rsidRPr="0050035B" w:rsidRDefault="00643208" w:rsidP="00445763">
      <w:pPr>
        <w:spacing w:line="360" w:lineRule="auto"/>
        <w:jc w:val="both"/>
        <w:rPr>
          <w:rFonts w:ascii="Century Gothic" w:hAnsi="Century Gothic"/>
          <w:lang w:val="es-MX"/>
        </w:rPr>
      </w:pPr>
      <w:r w:rsidRPr="0050035B">
        <w:rPr>
          <w:rFonts w:ascii="Century Gothic" w:hAnsi="Century Gothic"/>
          <w:lang w:val="es-MX"/>
        </w:rPr>
        <w:t xml:space="preserve">Esta norma contempla </w:t>
      </w:r>
      <w:r w:rsidR="005B0DE8" w:rsidRPr="0050035B">
        <w:rPr>
          <w:rFonts w:ascii="Century Gothic" w:hAnsi="Century Gothic"/>
          <w:lang w:val="es-MX"/>
        </w:rPr>
        <w:t>en su objeto</w:t>
      </w:r>
      <w:r w:rsidRPr="0050035B">
        <w:rPr>
          <w:rFonts w:ascii="Century Gothic" w:hAnsi="Century Gothic"/>
          <w:lang w:val="es-MX"/>
        </w:rPr>
        <w:t>: “Establecer la estructura y contenido de la información ad</w:t>
      </w:r>
      <w:r w:rsidR="005B0DE8" w:rsidRPr="0050035B">
        <w:rPr>
          <w:rFonts w:ascii="Century Gothic" w:hAnsi="Century Gothic"/>
          <w:lang w:val="es-MX"/>
        </w:rPr>
        <w:t>icional que se incluirá en las Leyes de I</w:t>
      </w:r>
      <w:r w:rsidRPr="0050035B">
        <w:rPr>
          <w:rFonts w:ascii="Century Gothic" w:hAnsi="Century Gothic"/>
          <w:lang w:val="es-MX"/>
        </w:rPr>
        <w:t>ngresos para que la información financiera que generen y publiquen los entes obligados sea con base en estructuras y formatos armonizados”.</w:t>
      </w:r>
    </w:p>
    <w:p w:rsidR="00643208" w:rsidRPr="0050035B" w:rsidRDefault="00643208" w:rsidP="00643208">
      <w:pPr>
        <w:spacing w:line="360" w:lineRule="auto"/>
        <w:jc w:val="both"/>
        <w:rPr>
          <w:rFonts w:ascii="Century Gothic" w:hAnsi="Century Gothic"/>
          <w:lang w:val="es-MX"/>
        </w:rPr>
      </w:pPr>
    </w:p>
    <w:p w:rsidR="00643208" w:rsidRPr="0050035B" w:rsidRDefault="005B0DE8" w:rsidP="005B0DE8">
      <w:pPr>
        <w:spacing w:line="360" w:lineRule="auto"/>
        <w:ind w:firstLine="720"/>
        <w:jc w:val="both"/>
        <w:rPr>
          <w:rFonts w:ascii="Century Gothic" w:hAnsi="Century Gothic"/>
          <w:lang w:val="es-MX"/>
        </w:rPr>
      </w:pPr>
      <w:r w:rsidRPr="0050035B">
        <w:rPr>
          <w:rFonts w:ascii="Century Gothic" w:hAnsi="Century Gothic"/>
          <w:lang w:val="es-MX"/>
        </w:rPr>
        <w:lastRenderedPageBreak/>
        <w:t>Al respecto del</w:t>
      </w:r>
      <w:r w:rsidR="005C034D">
        <w:rPr>
          <w:rFonts w:ascii="Century Gothic" w:hAnsi="Century Gothic"/>
          <w:lang w:val="es-MX"/>
        </w:rPr>
        <w:t xml:space="preserve"> á</w:t>
      </w:r>
      <w:r w:rsidR="00643208" w:rsidRPr="0050035B">
        <w:rPr>
          <w:rFonts w:ascii="Century Gothic" w:hAnsi="Century Gothic"/>
          <w:lang w:val="es-MX"/>
        </w:rPr>
        <w:t>mbito de aplicación estipula que: “Las presentes disposiciones serán de observancia obligatoria para</w:t>
      </w:r>
      <w:r w:rsidR="00A20945" w:rsidRPr="0050035B">
        <w:rPr>
          <w:rFonts w:ascii="Century Gothic" w:hAnsi="Century Gothic"/>
          <w:lang w:val="es-MX"/>
        </w:rPr>
        <w:t xml:space="preserve"> </w:t>
      </w:r>
      <w:r w:rsidR="00643208" w:rsidRPr="0050035B">
        <w:rPr>
          <w:rFonts w:ascii="Century Gothic" w:hAnsi="Century Gothic"/>
          <w:lang w:val="es-MX"/>
        </w:rPr>
        <w:t xml:space="preserve">…los </w:t>
      </w:r>
      <w:r w:rsidR="00373DAB" w:rsidRPr="0050035B">
        <w:rPr>
          <w:rFonts w:ascii="Century Gothic" w:hAnsi="Century Gothic"/>
          <w:lang w:val="es-MX"/>
        </w:rPr>
        <w:t>Municipio</w:t>
      </w:r>
      <w:r w:rsidRPr="0050035B">
        <w:rPr>
          <w:rFonts w:ascii="Century Gothic" w:hAnsi="Century Gothic"/>
          <w:lang w:val="es-MX"/>
        </w:rPr>
        <w:t>s…”. En cuanto a las</w:t>
      </w:r>
      <w:r w:rsidR="00276C45" w:rsidRPr="0050035B">
        <w:rPr>
          <w:rFonts w:ascii="Century Gothic" w:hAnsi="Century Gothic"/>
          <w:lang w:val="es-MX"/>
        </w:rPr>
        <w:t xml:space="preserve"> normas que se atienden</w:t>
      </w:r>
      <w:r w:rsidR="00643208" w:rsidRPr="0050035B">
        <w:rPr>
          <w:rFonts w:ascii="Century Gothic" w:hAnsi="Century Gothic"/>
          <w:lang w:val="es-MX"/>
        </w:rPr>
        <w:t>, establece:</w:t>
      </w:r>
      <w:r w:rsidR="002C0B1B" w:rsidRPr="0050035B">
        <w:rPr>
          <w:rFonts w:ascii="Century Gothic" w:hAnsi="Century Gothic"/>
          <w:lang w:val="es-MX"/>
        </w:rPr>
        <w:t xml:space="preserve"> </w:t>
      </w:r>
      <w:r w:rsidR="00643208" w:rsidRPr="0050035B">
        <w:rPr>
          <w:rFonts w:ascii="Century Gothic" w:hAnsi="Century Gothic"/>
          <w:lang w:val="es-MX"/>
        </w:rPr>
        <w:t>“La iniciativa de la Ley de Ingresos se presentará atendiendo a lo dispuesto por el artículo 61 de la Ley General de Contabilidad Gubernamental, y el Clasificador por Rubros de Ingresos, publicado en el Diario Oficial de la Federación el 9 de diciembre de 2009”.</w:t>
      </w:r>
    </w:p>
    <w:p w:rsidR="00643208" w:rsidRPr="0050035B" w:rsidRDefault="00643208" w:rsidP="00643208">
      <w:pPr>
        <w:spacing w:line="360" w:lineRule="auto"/>
        <w:jc w:val="both"/>
        <w:rPr>
          <w:rFonts w:ascii="Century Gothic" w:hAnsi="Century Gothic"/>
          <w:lang w:val="es-MX"/>
        </w:rPr>
      </w:pPr>
    </w:p>
    <w:p w:rsidR="00DB2B60" w:rsidRDefault="005B0DE8" w:rsidP="00C17543">
      <w:pPr>
        <w:spacing w:line="360" w:lineRule="auto"/>
        <w:ind w:firstLine="720"/>
        <w:jc w:val="both"/>
        <w:rPr>
          <w:rFonts w:ascii="Century Gothic" w:hAnsi="Century Gothic"/>
          <w:lang w:val="es-MX"/>
        </w:rPr>
      </w:pPr>
      <w:r w:rsidRPr="0050035B">
        <w:rPr>
          <w:rFonts w:ascii="Century Gothic" w:hAnsi="Century Gothic"/>
          <w:lang w:val="es-MX"/>
        </w:rPr>
        <w:t>Sobre</w:t>
      </w:r>
      <w:r w:rsidR="00643208" w:rsidRPr="0050035B">
        <w:rPr>
          <w:rFonts w:ascii="Century Gothic" w:hAnsi="Century Gothic"/>
          <w:lang w:val="es-MX"/>
        </w:rPr>
        <w:t xml:space="preserve"> las precisiones del formato </w:t>
      </w:r>
      <w:r w:rsidRPr="0050035B">
        <w:rPr>
          <w:rFonts w:ascii="Century Gothic" w:hAnsi="Century Gothic"/>
          <w:lang w:val="es-MX"/>
        </w:rPr>
        <w:t>señala</w:t>
      </w:r>
      <w:r w:rsidR="00643208" w:rsidRPr="0050035B">
        <w:rPr>
          <w:rFonts w:ascii="Century Gothic" w:hAnsi="Century Gothic"/>
          <w:lang w:val="es-MX"/>
        </w:rPr>
        <w:t xml:space="preserve"> que: “Se deberá…</w:t>
      </w:r>
      <w:r w:rsidR="00276C45" w:rsidRPr="0050035B">
        <w:rPr>
          <w:rFonts w:ascii="Century Gothic" w:hAnsi="Century Gothic"/>
          <w:lang w:val="es-MX"/>
        </w:rPr>
        <w:t xml:space="preserve"> </w:t>
      </w:r>
      <w:r w:rsidR="00643208" w:rsidRPr="0050035B">
        <w:rPr>
          <w:rFonts w:ascii="Century Gothic" w:hAnsi="Century Gothic"/>
          <w:lang w:val="es-MX"/>
        </w:rPr>
        <w:t xml:space="preserve">presentar con la apertura del Clasificador por Rubros de Ingresos, como mínimo al segundo nivel (tipo), incluyendo sus importes”. </w:t>
      </w:r>
      <w:r w:rsidR="007C14DC" w:rsidRPr="0050035B">
        <w:rPr>
          <w:rFonts w:ascii="Century Gothic" w:hAnsi="Century Gothic"/>
          <w:lang w:val="es-MX"/>
        </w:rPr>
        <w:t>Lo anterior,</w:t>
      </w:r>
      <w:r w:rsidR="00643208" w:rsidRPr="0050035B">
        <w:rPr>
          <w:rFonts w:ascii="Century Gothic" w:hAnsi="Century Gothic"/>
          <w:lang w:val="es-MX"/>
        </w:rPr>
        <w:t xml:space="preserve"> con apego al formato establecido en el mismo</w:t>
      </w:r>
      <w:r w:rsidRPr="0050035B">
        <w:rPr>
          <w:rFonts w:ascii="Century Gothic" w:hAnsi="Century Gothic"/>
          <w:lang w:val="es-MX"/>
        </w:rPr>
        <w:t xml:space="preserve"> cuerpo normativo</w:t>
      </w:r>
      <w:r w:rsidR="00643208" w:rsidRPr="0050035B">
        <w:rPr>
          <w:rFonts w:ascii="Century Gothic" w:hAnsi="Century Gothic"/>
          <w:lang w:val="es-MX"/>
        </w:rPr>
        <w:t>, el cual es utilizado en la presentación final del pres</w:t>
      </w:r>
      <w:r w:rsidR="00082291" w:rsidRPr="0050035B">
        <w:rPr>
          <w:rFonts w:ascii="Century Gothic" w:hAnsi="Century Gothic"/>
          <w:lang w:val="es-MX"/>
        </w:rPr>
        <w:t>en</w:t>
      </w:r>
      <w:r w:rsidR="00643208" w:rsidRPr="0050035B">
        <w:rPr>
          <w:rFonts w:ascii="Century Gothic" w:hAnsi="Century Gothic"/>
          <w:lang w:val="es-MX"/>
        </w:rPr>
        <w:t xml:space="preserve">te </w:t>
      </w:r>
      <w:r w:rsidRPr="0050035B">
        <w:rPr>
          <w:rFonts w:ascii="Century Gothic" w:hAnsi="Century Gothic"/>
          <w:lang w:val="es-MX"/>
        </w:rPr>
        <w:t>Presupuesto de Ingresos</w:t>
      </w:r>
      <w:r w:rsidR="00643208" w:rsidRPr="0050035B">
        <w:rPr>
          <w:rFonts w:ascii="Century Gothic" w:hAnsi="Century Gothic"/>
          <w:lang w:val="es-MX"/>
        </w:rPr>
        <w:t>.</w:t>
      </w:r>
    </w:p>
    <w:p w:rsidR="00C17543" w:rsidRDefault="00C17543" w:rsidP="00C17543">
      <w:pPr>
        <w:spacing w:line="360" w:lineRule="auto"/>
        <w:ind w:firstLine="720"/>
        <w:jc w:val="both"/>
        <w:rPr>
          <w:rFonts w:ascii="Century Gothic" w:hAnsi="Century Gothic"/>
          <w:b/>
          <w:lang w:val="es-MX"/>
        </w:rPr>
      </w:pPr>
    </w:p>
    <w:p w:rsidR="008B52D3" w:rsidRPr="0050035B" w:rsidRDefault="00CF13F6" w:rsidP="00C960F0">
      <w:pPr>
        <w:spacing w:line="360" w:lineRule="auto"/>
        <w:jc w:val="both"/>
        <w:rPr>
          <w:rFonts w:ascii="Century Gothic" w:hAnsi="Century Gothic"/>
          <w:b/>
          <w:lang w:val="es-MX"/>
        </w:rPr>
      </w:pPr>
      <w:r w:rsidRPr="0050035B">
        <w:rPr>
          <w:rFonts w:ascii="Century Gothic" w:hAnsi="Century Gothic"/>
          <w:b/>
          <w:lang w:val="es-MX"/>
        </w:rPr>
        <w:t>1.2.</w:t>
      </w:r>
      <w:r w:rsidR="008B37F4" w:rsidRPr="0050035B">
        <w:rPr>
          <w:rFonts w:ascii="Century Gothic" w:hAnsi="Century Gothic"/>
          <w:b/>
          <w:lang w:val="es-MX"/>
        </w:rPr>
        <w:t>6</w:t>
      </w:r>
      <w:r w:rsidR="00137425" w:rsidRPr="0050035B">
        <w:rPr>
          <w:rFonts w:ascii="Century Gothic" w:hAnsi="Century Gothic"/>
          <w:b/>
          <w:lang w:val="es-MX"/>
        </w:rPr>
        <w:t xml:space="preserve"> </w:t>
      </w:r>
      <w:r w:rsidR="004A1FDB" w:rsidRPr="0050035B">
        <w:rPr>
          <w:rFonts w:ascii="Century Gothic" w:hAnsi="Century Gothic" w:cs="Arial"/>
          <w:b/>
          <w:bCs/>
          <w:lang w:val="es-MX"/>
        </w:rPr>
        <w:t>Clasificador por Rubros de Ingresos</w:t>
      </w:r>
      <w:r w:rsidR="004A1FDB" w:rsidRPr="0050035B">
        <w:rPr>
          <w:rFonts w:ascii="Century Gothic" w:hAnsi="Century Gothic"/>
          <w:b/>
          <w:lang w:val="es-MX"/>
        </w:rPr>
        <w:t xml:space="preserve"> </w:t>
      </w:r>
    </w:p>
    <w:p w:rsidR="008B52D3" w:rsidRPr="0050035B" w:rsidRDefault="004A1FDB" w:rsidP="008B52D3">
      <w:pPr>
        <w:spacing w:line="360" w:lineRule="auto"/>
        <w:jc w:val="both"/>
        <w:rPr>
          <w:rFonts w:ascii="Century Gothic" w:hAnsi="Century Gothic"/>
          <w:lang w:val="es-MX"/>
        </w:rPr>
      </w:pPr>
      <w:r w:rsidRPr="0050035B">
        <w:rPr>
          <w:rFonts w:ascii="Century Gothic" w:hAnsi="Century Gothic"/>
          <w:lang w:val="es-MX"/>
        </w:rPr>
        <w:t>Esta disposición normativa establece como su nombre lo indica</w:t>
      </w:r>
      <w:r w:rsidR="00B75A5F" w:rsidRPr="0050035B">
        <w:rPr>
          <w:rFonts w:ascii="Century Gothic" w:hAnsi="Century Gothic"/>
          <w:lang w:val="es-MX"/>
        </w:rPr>
        <w:t xml:space="preserve"> una </w:t>
      </w:r>
      <w:r w:rsidR="005B6BB5" w:rsidRPr="0050035B">
        <w:rPr>
          <w:rFonts w:ascii="Century Gothic" w:hAnsi="Century Gothic"/>
          <w:lang w:val="es-MX"/>
        </w:rPr>
        <w:t>clasificación de</w:t>
      </w:r>
      <w:r w:rsidR="00B75A5F" w:rsidRPr="0050035B">
        <w:rPr>
          <w:rFonts w:ascii="Century Gothic" w:hAnsi="Century Gothic"/>
          <w:lang w:val="es-MX"/>
        </w:rPr>
        <w:t xml:space="preserve"> los ingresos </w:t>
      </w:r>
      <w:r w:rsidR="008B52D3" w:rsidRPr="0050035B">
        <w:rPr>
          <w:rFonts w:ascii="Century Gothic" w:hAnsi="Century Gothic"/>
          <w:lang w:val="es-MX"/>
        </w:rPr>
        <w:t>presupuestarios</w:t>
      </w:r>
      <w:r w:rsidR="00FA65D3" w:rsidRPr="0050035B">
        <w:rPr>
          <w:rFonts w:ascii="Century Gothic" w:hAnsi="Century Gothic"/>
          <w:lang w:val="es-MX"/>
        </w:rPr>
        <w:t xml:space="preserve"> denominada “CRI” (Clasificador por Rubro de Ingresos),</w:t>
      </w:r>
      <w:r w:rsidR="00137425" w:rsidRPr="0050035B">
        <w:rPr>
          <w:rFonts w:ascii="Century Gothic" w:hAnsi="Century Gothic"/>
          <w:lang w:val="es-MX"/>
        </w:rPr>
        <w:t xml:space="preserve"> </w:t>
      </w:r>
      <w:r w:rsidR="00375788" w:rsidRPr="0050035B">
        <w:rPr>
          <w:rFonts w:ascii="Century Gothic" w:hAnsi="Century Gothic"/>
          <w:lang w:val="es-MX"/>
        </w:rPr>
        <w:t>“</w:t>
      </w:r>
      <w:r w:rsidR="00137425" w:rsidRPr="0050035B">
        <w:rPr>
          <w:rFonts w:ascii="Century Gothic" w:hAnsi="Century Gothic"/>
          <w:lang w:val="es-MX"/>
        </w:rPr>
        <w:t xml:space="preserve">este </w:t>
      </w:r>
      <w:r w:rsidR="00B75A5F" w:rsidRPr="0050035B">
        <w:rPr>
          <w:rFonts w:ascii="Century Gothic" w:hAnsi="Century Gothic"/>
          <w:lang w:val="es-MX"/>
        </w:rPr>
        <w:t>CRI</w:t>
      </w:r>
      <w:r w:rsidR="00FA65D3" w:rsidRPr="0050035B">
        <w:rPr>
          <w:rFonts w:ascii="Century Gothic" w:hAnsi="Century Gothic"/>
          <w:lang w:val="es-MX"/>
        </w:rPr>
        <w:t xml:space="preserve"> ordena, agrupa y presenta</w:t>
      </w:r>
      <w:r w:rsidR="00B75A5F" w:rsidRPr="0050035B">
        <w:rPr>
          <w:rFonts w:ascii="Century Gothic" w:hAnsi="Century Gothic"/>
          <w:lang w:val="es-MX"/>
        </w:rPr>
        <w:t xml:space="preserve"> los ingresos públicos en función de su naturaleza y el carácter de las transaccion</w:t>
      </w:r>
      <w:r w:rsidR="002F6659" w:rsidRPr="0050035B">
        <w:rPr>
          <w:rFonts w:ascii="Century Gothic" w:hAnsi="Century Gothic"/>
          <w:lang w:val="es-MX"/>
        </w:rPr>
        <w:t>es que le dan origen. Así, gracias al</w:t>
      </w:r>
      <w:r w:rsidR="00B75A5F" w:rsidRPr="0050035B">
        <w:rPr>
          <w:rFonts w:ascii="Century Gothic" w:hAnsi="Century Gothic"/>
          <w:lang w:val="es-MX"/>
        </w:rPr>
        <w:t xml:space="preserve"> CRI se distinguen </w:t>
      </w:r>
      <w:r w:rsidR="00137425" w:rsidRPr="0050035B">
        <w:rPr>
          <w:rFonts w:ascii="Century Gothic" w:hAnsi="Century Gothic"/>
          <w:lang w:val="es-MX"/>
        </w:rPr>
        <w:t xml:space="preserve">los ingresos </w:t>
      </w:r>
      <w:r w:rsidR="00B75A5F" w:rsidRPr="0050035B">
        <w:rPr>
          <w:rFonts w:ascii="Century Gothic" w:hAnsi="Century Gothic"/>
          <w:lang w:val="es-MX"/>
        </w:rPr>
        <w:t>que provienen de fuentes tradicionales como los impuestos, los aprovec</w:t>
      </w:r>
      <w:r w:rsidR="002F6659" w:rsidRPr="0050035B">
        <w:rPr>
          <w:rFonts w:ascii="Century Gothic" w:hAnsi="Century Gothic"/>
          <w:lang w:val="es-MX"/>
        </w:rPr>
        <w:t xml:space="preserve">hamientos, derechos y productos; los que provienen de </w:t>
      </w:r>
      <w:r w:rsidR="006965B0" w:rsidRPr="0050035B">
        <w:rPr>
          <w:rFonts w:ascii="Century Gothic" w:hAnsi="Century Gothic"/>
          <w:lang w:val="es-MX"/>
        </w:rPr>
        <w:t>transferencias; y</w:t>
      </w:r>
      <w:r w:rsidR="00B75A5F" w:rsidRPr="0050035B">
        <w:rPr>
          <w:rFonts w:ascii="Century Gothic" w:hAnsi="Century Gothic"/>
          <w:lang w:val="es-MX"/>
        </w:rPr>
        <w:t xml:space="preserve"> los que provienen de la disminución de activos y financiamientos</w:t>
      </w:r>
      <w:r w:rsidR="00375788" w:rsidRPr="0050035B">
        <w:rPr>
          <w:rFonts w:ascii="Century Gothic" w:hAnsi="Century Gothic"/>
          <w:lang w:val="es-MX"/>
        </w:rPr>
        <w:t>”</w:t>
      </w:r>
      <w:r w:rsidR="00B75A5F" w:rsidRPr="0050035B">
        <w:rPr>
          <w:rFonts w:ascii="Century Gothic" w:hAnsi="Century Gothic"/>
          <w:lang w:val="es-MX"/>
        </w:rPr>
        <w:t xml:space="preserve">. </w:t>
      </w:r>
    </w:p>
    <w:p w:rsidR="008B52D3" w:rsidRPr="0050035B" w:rsidRDefault="008B52D3" w:rsidP="008B52D3">
      <w:pPr>
        <w:spacing w:line="360" w:lineRule="auto"/>
        <w:jc w:val="both"/>
        <w:rPr>
          <w:rFonts w:ascii="Century Gothic" w:hAnsi="Century Gothic"/>
          <w:lang w:val="es-MX"/>
        </w:rPr>
      </w:pPr>
    </w:p>
    <w:p w:rsidR="003A6064" w:rsidRPr="0050035B" w:rsidRDefault="00B75A5F" w:rsidP="00E6020E">
      <w:pPr>
        <w:spacing w:line="360" w:lineRule="auto"/>
        <w:ind w:firstLine="720"/>
        <w:jc w:val="both"/>
        <w:rPr>
          <w:rFonts w:ascii="Century Gothic" w:hAnsi="Century Gothic"/>
          <w:lang w:val="es-MX"/>
        </w:rPr>
      </w:pPr>
      <w:r w:rsidRPr="0050035B">
        <w:rPr>
          <w:rFonts w:ascii="Century Gothic" w:hAnsi="Century Gothic"/>
          <w:lang w:val="es-MX"/>
        </w:rPr>
        <w:t>El CRI permit</w:t>
      </w:r>
      <w:r w:rsidR="00D71A11" w:rsidRPr="0050035B">
        <w:rPr>
          <w:rFonts w:ascii="Century Gothic" w:hAnsi="Century Gothic"/>
          <w:lang w:val="es-MX"/>
        </w:rPr>
        <w:t>e</w:t>
      </w:r>
      <w:r w:rsidRPr="0050035B">
        <w:rPr>
          <w:rFonts w:ascii="Century Gothic" w:hAnsi="Century Gothic"/>
          <w:lang w:val="es-MX"/>
        </w:rPr>
        <w:t xml:space="preserve"> el registro analítico de las transacciones de ingresos, siendo el instrumento que </w:t>
      </w:r>
      <w:r w:rsidR="002F6659" w:rsidRPr="0050035B">
        <w:rPr>
          <w:rFonts w:ascii="Century Gothic" w:hAnsi="Century Gothic"/>
          <w:lang w:val="es-MX"/>
        </w:rPr>
        <w:t>vincula</w:t>
      </w:r>
      <w:r w:rsidRPr="0050035B">
        <w:rPr>
          <w:rFonts w:ascii="Century Gothic" w:hAnsi="Century Gothic"/>
          <w:lang w:val="es-MX"/>
        </w:rPr>
        <w:t xml:space="preserve"> los aspectos presupuestarios y contables de los recursos. </w:t>
      </w:r>
      <w:r w:rsidR="002F6659" w:rsidRPr="0050035B">
        <w:rPr>
          <w:rFonts w:ascii="Century Gothic" w:hAnsi="Century Gothic"/>
          <w:lang w:val="es-MX"/>
        </w:rPr>
        <w:t>Cabe destacar que cuenta con</w:t>
      </w:r>
      <w:r w:rsidRPr="0050035B">
        <w:rPr>
          <w:rFonts w:ascii="Century Gothic" w:hAnsi="Century Gothic"/>
          <w:lang w:val="es-MX"/>
        </w:rPr>
        <w:t xml:space="preserve"> </w:t>
      </w:r>
      <w:r w:rsidR="002F6659" w:rsidRPr="0050035B">
        <w:rPr>
          <w:rFonts w:ascii="Century Gothic" w:hAnsi="Century Gothic"/>
          <w:lang w:val="es-MX"/>
        </w:rPr>
        <w:t>una</w:t>
      </w:r>
      <w:r w:rsidR="00375788" w:rsidRPr="0050035B">
        <w:rPr>
          <w:rFonts w:ascii="Century Gothic" w:hAnsi="Century Gothic"/>
          <w:lang w:val="es-MX"/>
        </w:rPr>
        <w:t xml:space="preserve"> codificación de dos dígitos:</w:t>
      </w:r>
      <w:r w:rsidR="002F6659" w:rsidRPr="0050035B">
        <w:rPr>
          <w:rFonts w:ascii="Century Gothic" w:hAnsi="Century Gothic"/>
          <w:lang w:val="es-MX"/>
        </w:rPr>
        <w:t xml:space="preserve"> el </w:t>
      </w:r>
      <w:r w:rsidR="00375788" w:rsidRPr="0050035B">
        <w:rPr>
          <w:rFonts w:ascii="Century Gothic" w:hAnsi="Century Gothic"/>
          <w:lang w:val="es-MX"/>
        </w:rPr>
        <w:t>Rubro,</w:t>
      </w:r>
      <w:r w:rsidRPr="0050035B">
        <w:rPr>
          <w:rFonts w:ascii="Century Gothic" w:hAnsi="Century Gothic"/>
          <w:lang w:val="es-MX"/>
        </w:rPr>
        <w:t xml:space="preserve"> </w:t>
      </w:r>
      <w:r w:rsidR="00375788" w:rsidRPr="0050035B">
        <w:rPr>
          <w:rFonts w:ascii="Century Gothic" w:hAnsi="Century Gothic"/>
          <w:lang w:val="es-MX"/>
        </w:rPr>
        <w:t>q</w:t>
      </w:r>
      <w:r w:rsidR="00D71A11" w:rsidRPr="0050035B">
        <w:rPr>
          <w:rFonts w:ascii="Century Gothic" w:hAnsi="Century Gothic"/>
          <w:lang w:val="es-MX"/>
        </w:rPr>
        <w:t xml:space="preserve">ue es el </w:t>
      </w:r>
      <w:r w:rsidRPr="0050035B">
        <w:rPr>
          <w:rFonts w:ascii="Century Gothic" w:hAnsi="Century Gothic"/>
          <w:lang w:val="es-MX"/>
        </w:rPr>
        <w:t xml:space="preserve">mayor nivel de agregación del CRI que presenta </w:t>
      </w:r>
      <w:r w:rsidRPr="0050035B">
        <w:rPr>
          <w:rFonts w:ascii="Century Gothic" w:hAnsi="Century Gothic"/>
          <w:lang w:val="es-MX"/>
        </w:rPr>
        <w:lastRenderedPageBreak/>
        <w:t>y ordena los grupos principales de los ingresos públicos en función de su diferente naturaleza y el carácter de las transacciones que le dan origen</w:t>
      </w:r>
      <w:r w:rsidR="002F6659" w:rsidRPr="0050035B">
        <w:rPr>
          <w:rFonts w:ascii="Century Gothic" w:hAnsi="Century Gothic"/>
          <w:lang w:val="es-MX"/>
        </w:rPr>
        <w:t xml:space="preserve">; y el </w:t>
      </w:r>
      <w:r w:rsidR="00375788" w:rsidRPr="0050035B">
        <w:rPr>
          <w:rFonts w:ascii="Century Gothic" w:hAnsi="Century Gothic"/>
          <w:lang w:val="es-MX"/>
        </w:rPr>
        <w:t>Tipo,</w:t>
      </w:r>
      <w:r w:rsidRPr="0050035B">
        <w:rPr>
          <w:rFonts w:ascii="Century Gothic" w:hAnsi="Century Gothic"/>
          <w:lang w:val="es-MX"/>
        </w:rPr>
        <w:t xml:space="preserve"> </w:t>
      </w:r>
      <w:r w:rsidR="00375788" w:rsidRPr="0050035B">
        <w:rPr>
          <w:rFonts w:ascii="Century Gothic" w:hAnsi="Century Gothic"/>
          <w:lang w:val="es-MX"/>
        </w:rPr>
        <w:t>q</w:t>
      </w:r>
      <w:r w:rsidR="00D71A11" w:rsidRPr="0050035B">
        <w:rPr>
          <w:rFonts w:ascii="Century Gothic" w:hAnsi="Century Gothic"/>
          <w:lang w:val="es-MX"/>
        </w:rPr>
        <w:t xml:space="preserve">ue </w:t>
      </w:r>
      <w:r w:rsidR="002F6659" w:rsidRPr="0050035B">
        <w:rPr>
          <w:rFonts w:ascii="Century Gothic" w:hAnsi="Century Gothic"/>
          <w:lang w:val="es-MX"/>
        </w:rPr>
        <w:t>d</w:t>
      </w:r>
      <w:r w:rsidRPr="0050035B">
        <w:rPr>
          <w:rFonts w:ascii="Century Gothic" w:hAnsi="Century Gothic"/>
          <w:lang w:val="es-MX"/>
        </w:rPr>
        <w:t>etermina el conjunto de ingresos públicos que integran cada rubro, cuyo nivel de agregación es intermedio.</w:t>
      </w:r>
    </w:p>
    <w:p w:rsidR="00E6020E" w:rsidRPr="0050035B" w:rsidRDefault="00E6020E" w:rsidP="00E6020E">
      <w:pPr>
        <w:spacing w:line="360" w:lineRule="auto"/>
        <w:ind w:firstLine="720"/>
        <w:jc w:val="both"/>
        <w:rPr>
          <w:rFonts w:ascii="Century Gothic" w:hAnsi="Century Gothic"/>
          <w:lang w:val="es-MX"/>
        </w:rPr>
      </w:pPr>
    </w:p>
    <w:p w:rsidR="006D6CB7" w:rsidRPr="0050035B" w:rsidRDefault="006D6CB7" w:rsidP="006D6CB7">
      <w:pPr>
        <w:spacing w:line="360" w:lineRule="auto"/>
        <w:jc w:val="both"/>
        <w:rPr>
          <w:rFonts w:ascii="Century Gothic" w:hAnsi="Century Gothic"/>
          <w:b/>
          <w:lang w:val="es-MX"/>
        </w:rPr>
      </w:pPr>
      <w:r w:rsidRPr="0050035B">
        <w:rPr>
          <w:rFonts w:ascii="Century Gothic" w:hAnsi="Century Gothic"/>
          <w:b/>
          <w:lang w:val="es-MX"/>
        </w:rPr>
        <w:t xml:space="preserve">1.2.7. Norma para establecer la estructura del calendario de ingresos base mensual </w:t>
      </w:r>
      <w:r w:rsidR="004F1A41" w:rsidRPr="0050035B">
        <w:rPr>
          <w:rFonts w:ascii="Century Gothic" w:hAnsi="Century Gothic"/>
          <w:b/>
          <w:lang w:val="es-MX"/>
        </w:rPr>
        <w:t>(CONAC)</w:t>
      </w:r>
    </w:p>
    <w:p w:rsidR="008B52D3" w:rsidRPr="0050035B" w:rsidRDefault="00C53044" w:rsidP="008B52D3">
      <w:pPr>
        <w:spacing w:line="360" w:lineRule="auto"/>
        <w:jc w:val="both"/>
        <w:rPr>
          <w:rFonts w:ascii="Century Gothic" w:hAnsi="Century Gothic"/>
          <w:lang w:val="es-MX"/>
        </w:rPr>
      </w:pPr>
      <w:r w:rsidRPr="0050035B">
        <w:rPr>
          <w:rFonts w:ascii="Century Gothic" w:hAnsi="Century Gothic"/>
          <w:lang w:val="es-MX"/>
        </w:rPr>
        <w:t xml:space="preserve">Este cuerpo normativo </w:t>
      </w:r>
      <w:r w:rsidR="000E3E01" w:rsidRPr="0050035B">
        <w:rPr>
          <w:rFonts w:ascii="Century Gothic" w:hAnsi="Century Gothic"/>
          <w:lang w:val="es-MX"/>
        </w:rPr>
        <w:t xml:space="preserve">señala que su </w:t>
      </w:r>
      <w:r w:rsidR="00990ADC">
        <w:rPr>
          <w:rFonts w:ascii="Century Gothic" w:hAnsi="Century Gothic"/>
          <w:lang w:val="es-MX"/>
        </w:rPr>
        <w:t>Objeto</w:t>
      </w:r>
      <w:r w:rsidR="000E3E01" w:rsidRPr="0050035B">
        <w:rPr>
          <w:rFonts w:ascii="Century Gothic" w:hAnsi="Century Gothic"/>
          <w:lang w:val="es-MX"/>
        </w:rPr>
        <w:t xml:space="preserve"> es</w:t>
      </w:r>
      <w:r w:rsidRPr="0050035B">
        <w:rPr>
          <w:rFonts w:ascii="Century Gothic" w:hAnsi="Century Gothic"/>
          <w:lang w:val="es-MX"/>
        </w:rPr>
        <w:t xml:space="preserve"> “Establecer la estructura del formato para publicar en internet el calendario de ingresos base mensual para que la información financiera que generen y publiquen los entes obligados sea con base en est</w:t>
      </w:r>
      <w:r w:rsidR="007C65C5" w:rsidRPr="0050035B">
        <w:rPr>
          <w:rFonts w:ascii="Century Gothic" w:hAnsi="Century Gothic"/>
          <w:lang w:val="es-MX"/>
        </w:rPr>
        <w:t>ructuras y formatos armonizados</w:t>
      </w:r>
      <w:r w:rsidRPr="0050035B">
        <w:rPr>
          <w:rFonts w:ascii="Century Gothic" w:hAnsi="Century Gothic"/>
          <w:lang w:val="es-MX"/>
        </w:rPr>
        <w:t>”</w:t>
      </w:r>
      <w:r w:rsidR="007C65C5" w:rsidRPr="0050035B">
        <w:rPr>
          <w:rFonts w:ascii="Century Gothic" w:hAnsi="Century Gothic"/>
          <w:lang w:val="es-MX"/>
        </w:rPr>
        <w:t>.</w:t>
      </w:r>
    </w:p>
    <w:p w:rsidR="00C53044" w:rsidRPr="0050035B" w:rsidRDefault="00C53044" w:rsidP="008B52D3">
      <w:pPr>
        <w:spacing w:line="360" w:lineRule="auto"/>
        <w:jc w:val="both"/>
        <w:rPr>
          <w:rFonts w:ascii="Century Gothic" w:hAnsi="Century Gothic"/>
          <w:lang w:val="es-MX"/>
        </w:rPr>
      </w:pPr>
      <w:r w:rsidRPr="0050035B">
        <w:rPr>
          <w:rFonts w:ascii="Century Gothic" w:hAnsi="Century Gothic"/>
          <w:lang w:val="es-MX"/>
        </w:rPr>
        <w:tab/>
      </w:r>
    </w:p>
    <w:p w:rsidR="00C53044" w:rsidRPr="0050035B" w:rsidRDefault="000E3E01" w:rsidP="00F15EEA">
      <w:pPr>
        <w:spacing w:line="360" w:lineRule="auto"/>
        <w:ind w:firstLine="720"/>
        <w:jc w:val="both"/>
        <w:rPr>
          <w:rFonts w:ascii="Century Gothic" w:hAnsi="Century Gothic"/>
          <w:lang w:val="es-MX"/>
        </w:rPr>
      </w:pPr>
      <w:r w:rsidRPr="0050035B">
        <w:rPr>
          <w:rFonts w:ascii="Century Gothic" w:hAnsi="Century Gothic"/>
          <w:lang w:val="es-MX"/>
        </w:rPr>
        <w:t>En el</w:t>
      </w:r>
      <w:r w:rsidR="00C53044" w:rsidRPr="0050035B">
        <w:rPr>
          <w:rFonts w:ascii="Century Gothic" w:hAnsi="Century Gothic"/>
          <w:lang w:val="es-MX"/>
        </w:rPr>
        <w:t xml:space="preserve"> </w:t>
      </w:r>
      <w:r w:rsidR="0060135F">
        <w:rPr>
          <w:rFonts w:ascii="Century Gothic" w:hAnsi="Century Gothic"/>
          <w:lang w:val="es-MX"/>
        </w:rPr>
        <w:t>á</w:t>
      </w:r>
      <w:r w:rsidR="00C53044" w:rsidRPr="0050035B">
        <w:rPr>
          <w:rFonts w:ascii="Century Gothic" w:hAnsi="Century Gothic"/>
          <w:lang w:val="es-MX"/>
        </w:rPr>
        <w:t xml:space="preserve">mbito de aplicación de la norma, </w:t>
      </w:r>
      <w:r w:rsidRPr="0050035B">
        <w:rPr>
          <w:rFonts w:ascii="Century Gothic" w:hAnsi="Century Gothic"/>
          <w:lang w:val="es-MX"/>
        </w:rPr>
        <w:t xml:space="preserve">señala que </w:t>
      </w:r>
      <w:r w:rsidR="00C53044" w:rsidRPr="0050035B">
        <w:rPr>
          <w:rFonts w:ascii="Century Gothic" w:hAnsi="Century Gothic"/>
          <w:lang w:val="es-MX"/>
        </w:rPr>
        <w:t>“Las presentes disposiciones serán de observancia obligatoria para: las secretarías de finanzas o sus equivalentes de las entidades federativas, así como las tesorerías de los municipios”.</w:t>
      </w:r>
      <w:r w:rsidR="00F15EEA" w:rsidRPr="0050035B">
        <w:rPr>
          <w:rFonts w:ascii="Century Gothic" w:hAnsi="Century Gothic"/>
          <w:lang w:val="es-MX"/>
        </w:rPr>
        <w:t xml:space="preserve"> Asimismo, establece que este cuerpo normativo se encuentra en estricto apego </w:t>
      </w:r>
      <w:r w:rsidR="00C53044" w:rsidRPr="0050035B">
        <w:rPr>
          <w:rFonts w:ascii="Century Gothic" w:hAnsi="Century Gothic"/>
          <w:lang w:val="es-MX"/>
        </w:rPr>
        <w:t>al artículo 66 de la Ley Gener</w:t>
      </w:r>
      <w:r w:rsidR="00F15EEA" w:rsidRPr="0050035B">
        <w:rPr>
          <w:rFonts w:ascii="Century Gothic" w:hAnsi="Century Gothic"/>
          <w:lang w:val="es-MX"/>
        </w:rPr>
        <w:t>al de Contabilidad Gubernamental</w:t>
      </w:r>
      <w:r w:rsidR="00C53044" w:rsidRPr="0050035B">
        <w:rPr>
          <w:rFonts w:ascii="Century Gothic" w:hAnsi="Century Gothic"/>
          <w:lang w:val="es-MX"/>
        </w:rPr>
        <w:t xml:space="preserve">. </w:t>
      </w:r>
    </w:p>
    <w:p w:rsidR="00C53044" w:rsidRPr="0050035B" w:rsidRDefault="00C53044" w:rsidP="008B52D3">
      <w:pPr>
        <w:spacing w:line="360" w:lineRule="auto"/>
        <w:jc w:val="both"/>
        <w:rPr>
          <w:rFonts w:ascii="Century Gothic" w:hAnsi="Century Gothic"/>
          <w:lang w:val="es-MX"/>
        </w:rPr>
      </w:pPr>
      <w:r w:rsidRPr="0050035B">
        <w:rPr>
          <w:rFonts w:ascii="Century Gothic" w:hAnsi="Century Gothic"/>
          <w:lang w:val="es-MX"/>
        </w:rPr>
        <w:tab/>
      </w:r>
    </w:p>
    <w:p w:rsidR="00C53044" w:rsidRPr="0050035B" w:rsidRDefault="007C65C5" w:rsidP="008B52D3">
      <w:pPr>
        <w:spacing w:line="360" w:lineRule="auto"/>
        <w:jc w:val="both"/>
        <w:rPr>
          <w:rFonts w:ascii="Century Gothic" w:hAnsi="Century Gothic"/>
          <w:lang w:val="es-MX"/>
        </w:rPr>
      </w:pPr>
      <w:r w:rsidRPr="0050035B">
        <w:rPr>
          <w:rFonts w:ascii="Century Gothic" w:hAnsi="Century Gothic"/>
          <w:lang w:val="es-MX"/>
        </w:rPr>
        <w:tab/>
        <w:t xml:space="preserve">De forma general, </w:t>
      </w:r>
      <w:r w:rsidR="00C326A8" w:rsidRPr="0050035B">
        <w:rPr>
          <w:rFonts w:ascii="Century Gothic" w:hAnsi="Century Gothic"/>
          <w:lang w:val="es-MX"/>
        </w:rPr>
        <w:t xml:space="preserve">señala </w:t>
      </w:r>
      <w:r w:rsidR="00F15EEA" w:rsidRPr="0050035B">
        <w:rPr>
          <w:rFonts w:ascii="Century Gothic" w:hAnsi="Century Gothic"/>
          <w:lang w:val="es-MX"/>
        </w:rPr>
        <w:t>que se deberá presentar en el formato incluido en esta norma, los in</w:t>
      </w:r>
      <w:r w:rsidR="00C326A8" w:rsidRPr="0050035B">
        <w:rPr>
          <w:rFonts w:ascii="Century Gothic" w:hAnsi="Century Gothic"/>
          <w:lang w:val="es-MX"/>
        </w:rPr>
        <w:t>gresos de forma anual y mensual y estipula que deberá hacerse</w:t>
      </w:r>
      <w:r w:rsidR="00C53044" w:rsidRPr="0050035B">
        <w:rPr>
          <w:rFonts w:ascii="Century Gothic" w:hAnsi="Century Gothic"/>
          <w:lang w:val="es-MX"/>
        </w:rPr>
        <w:t xml:space="preserve"> “a más tardar el último día de enero en la respectiva página de internet…”.</w:t>
      </w:r>
    </w:p>
    <w:p w:rsidR="00D82B93" w:rsidRPr="0050035B" w:rsidRDefault="00D82B93" w:rsidP="008B52D3">
      <w:pPr>
        <w:spacing w:line="360" w:lineRule="auto"/>
        <w:jc w:val="both"/>
        <w:rPr>
          <w:rFonts w:ascii="Century Gothic" w:hAnsi="Century Gothic"/>
          <w:b/>
          <w:lang w:val="es-MX"/>
        </w:rPr>
      </w:pPr>
    </w:p>
    <w:p w:rsidR="00643208" w:rsidRPr="0050035B" w:rsidRDefault="00CF13F6" w:rsidP="00643208">
      <w:pPr>
        <w:spacing w:line="360" w:lineRule="auto"/>
        <w:jc w:val="both"/>
        <w:rPr>
          <w:rFonts w:ascii="Century Gothic" w:hAnsi="Century Gothic"/>
          <w:b/>
          <w:lang w:val="es-MX"/>
        </w:rPr>
      </w:pPr>
      <w:r w:rsidRPr="0050035B">
        <w:rPr>
          <w:rFonts w:ascii="Century Gothic" w:hAnsi="Century Gothic"/>
          <w:b/>
          <w:lang w:val="es-MX"/>
        </w:rPr>
        <w:t>1.</w:t>
      </w:r>
      <w:r w:rsidR="00C960F0" w:rsidRPr="0050035B">
        <w:rPr>
          <w:rFonts w:ascii="Century Gothic" w:hAnsi="Century Gothic"/>
          <w:b/>
          <w:lang w:val="es-MX"/>
        </w:rPr>
        <w:t>2.</w:t>
      </w:r>
      <w:r w:rsidR="006D6CB7" w:rsidRPr="0050035B">
        <w:rPr>
          <w:rFonts w:ascii="Century Gothic" w:hAnsi="Century Gothic"/>
          <w:b/>
          <w:lang w:val="es-MX"/>
        </w:rPr>
        <w:t>8</w:t>
      </w:r>
      <w:r w:rsidR="00A32998" w:rsidRPr="0050035B">
        <w:rPr>
          <w:rFonts w:ascii="Century Gothic" w:hAnsi="Century Gothic"/>
          <w:b/>
          <w:lang w:val="es-MX"/>
        </w:rPr>
        <w:t xml:space="preserve">. </w:t>
      </w:r>
      <w:r w:rsidR="00643208" w:rsidRPr="0050035B">
        <w:rPr>
          <w:rFonts w:ascii="Century Gothic" w:hAnsi="Century Gothic"/>
          <w:b/>
          <w:lang w:val="es-MX"/>
        </w:rPr>
        <w:t xml:space="preserve">Constitución Política del </w:t>
      </w:r>
      <w:r w:rsidR="00373DAB" w:rsidRPr="0050035B">
        <w:rPr>
          <w:rFonts w:ascii="Century Gothic" w:hAnsi="Century Gothic"/>
          <w:b/>
          <w:lang w:val="es-MX"/>
        </w:rPr>
        <w:t>Estado</w:t>
      </w:r>
      <w:r w:rsidR="00643208" w:rsidRPr="0050035B">
        <w:rPr>
          <w:rFonts w:ascii="Century Gothic" w:hAnsi="Century Gothic"/>
          <w:b/>
          <w:lang w:val="es-MX"/>
        </w:rPr>
        <w:t xml:space="preserve"> </w:t>
      </w:r>
      <w:r w:rsidR="007075EC" w:rsidRPr="0050035B">
        <w:rPr>
          <w:rFonts w:ascii="Century Gothic" w:hAnsi="Century Gothic"/>
          <w:b/>
          <w:lang w:val="es-MX"/>
        </w:rPr>
        <w:t xml:space="preserve">Libre y Soberano </w:t>
      </w:r>
      <w:r w:rsidR="00643208" w:rsidRPr="0050035B">
        <w:rPr>
          <w:rFonts w:ascii="Century Gothic" w:hAnsi="Century Gothic"/>
          <w:b/>
          <w:lang w:val="es-MX"/>
        </w:rPr>
        <w:t>de Nuevo León</w:t>
      </w:r>
    </w:p>
    <w:p w:rsidR="00643208" w:rsidRPr="0050035B" w:rsidRDefault="00643208" w:rsidP="00A32998">
      <w:pPr>
        <w:spacing w:line="360" w:lineRule="auto"/>
        <w:jc w:val="both"/>
        <w:rPr>
          <w:rFonts w:ascii="Century Gothic" w:hAnsi="Century Gothic"/>
          <w:lang w:val="es-MX"/>
        </w:rPr>
      </w:pPr>
      <w:r w:rsidRPr="0050035B">
        <w:rPr>
          <w:rFonts w:ascii="Century Gothic" w:hAnsi="Century Gothic"/>
          <w:lang w:val="es-MX"/>
        </w:rPr>
        <w:t xml:space="preserve">El artículo 63 fracción X </w:t>
      </w:r>
      <w:r w:rsidR="000B3B48" w:rsidRPr="0050035B">
        <w:rPr>
          <w:rFonts w:ascii="Century Gothic" w:hAnsi="Century Gothic"/>
          <w:lang w:val="es-MX"/>
        </w:rPr>
        <w:t>confiere</w:t>
      </w:r>
      <w:r w:rsidRPr="0050035B">
        <w:rPr>
          <w:rFonts w:ascii="Century Gothic" w:hAnsi="Century Gothic"/>
          <w:lang w:val="es-MX"/>
        </w:rPr>
        <w:t xml:space="preserve"> al</w:t>
      </w:r>
      <w:r w:rsidR="002C0B1B" w:rsidRPr="0050035B">
        <w:rPr>
          <w:rFonts w:ascii="Century Gothic" w:hAnsi="Century Gothic"/>
          <w:lang w:val="es-MX"/>
        </w:rPr>
        <w:t xml:space="preserve"> </w:t>
      </w:r>
      <w:r w:rsidRPr="0050035B">
        <w:rPr>
          <w:rFonts w:ascii="Century Gothic" w:hAnsi="Century Gothic"/>
          <w:lang w:val="es-MX"/>
        </w:rPr>
        <w:t xml:space="preserve">Congreso del </w:t>
      </w:r>
      <w:r w:rsidR="00373DAB" w:rsidRPr="0050035B">
        <w:rPr>
          <w:rFonts w:ascii="Century Gothic" w:hAnsi="Century Gothic"/>
          <w:lang w:val="es-MX"/>
        </w:rPr>
        <w:t>Estado</w:t>
      </w:r>
      <w:r w:rsidRPr="0050035B">
        <w:rPr>
          <w:rFonts w:ascii="Century Gothic" w:hAnsi="Century Gothic"/>
          <w:lang w:val="es-MX"/>
        </w:rPr>
        <w:t xml:space="preserve"> atribuciones para: “Fijar anualmente a propuesta del Ejecutivo Estatal o de los Ayuntamientos, las contribuciones y demás ingresos que deberá formar la Hacienda Pública </w:t>
      </w:r>
      <w:r w:rsidRPr="0050035B">
        <w:rPr>
          <w:rFonts w:ascii="Century Gothic" w:hAnsi="Century Gothic"/>
          <w:lang w:val="es-MX"/>
        </w:rPr>
        <w:lastRenderedPageBreak/>
        <w:t>Estatal o Municipal respectivamente, procurando que sean suficientes para cubrir sus necesidades</w:t>
      </w:r>
      <w:r w:rsidR="007C65C5" w:rsidRPr="0050035B">
        <w:rPr>
          <w:rFonts w:ascii="Century Gothic" w:hAnsi="Century Gothic"/>
          <w:lang w:val="es-MX"/>
        </w:rPr>
        <w:t>…</w:t>
      </w:r>
      <w:r w:rsidRPr="0050035B">
        <w:rPr>
          <w:rFonts w:ascii="Century Gothic" w:hAnsi="Century Gothic"/>
          <w:lang w:val="es-MX"/>
        </w:rPr>
        <w:t xml:space="preserve">”. </w:t>
      </w:r>
    </w:p>
    <w:p w:rsidR="00137425" w:rsidRPr="0050035B" w:rsidRDefault="00137425" w:rsidP="008B52D3">
      <w:pPr>
        <w:spacing w:line="360" w:lineRule="auto"/>
        <w:jc w:val="both"/>
        <w:rPr>
          <w:rFonts w:ascii="Century Gothic" w:hAnsi="Century Gothic"/>
          <w:lang w:val="es-MX"/>
        </w:rPr>
      </w:pPr>
    </w:p>
    <w:p w:rsidR="00137425" w:rsidRPr="0050035B" w:rsidRDefault="00137425" w:rsidP="006965B0">
      <w:pPr>
        <w:spacing w:line="360" w:lineRule="auto"/>
        <w:ind w:firstLine="720"/>
        <w:jc w:val="both"/>
        <w:rPr>
          <w:rFonts w:ascii="Century Gothic" w:eastAsia="Times New Roman" w:hAnsi="Century Gothic" w:cs="Arial"/>
          <w:lang w:val="es-MX" w:eastAsia="es-MX"/>
        </w:rPr>
      </w:pPr>
      <w:r w:rsidRPr="0050035B">
        <w:rPr>
          <w:rFonts w:ascii="Century Gothic" w:eastAsia="Times New Roman" w:hAnsi="Century Gothic" w:cs="Arial"/>
          <w:lang w:val="es-MX" w:eastAsia="es-MX"/>
        </w:rPr>
        <w:t xml:space="preserve">El </w:t>
      </w:r>
      <w:r w:rsidR="007075EC" w:rsidRPr="0050035B">
        <w:rPr>
          <w:rFonts w:ascii="Century Gothic" w:eastAsia="Times New Roman" w:hAnsi="Century Gothic" w:cs="Arial"/>
          <w:lang w:val="es-MX" w:eastAsia="es-MX"/>
        </w:rPr>
        <w:t>artículo</w:t>
      </w:r>
      <w:r w:rsidRPr="0050035B">
        <w:rPr>
          <w:rFonts w:ascii="Century Gothic" w:eastAsia="Times New Roman" w:hAnsi="Century Gothic" w:cs="Arial"/>
          <w:lang w:val="es-MX" w:eastAsia="es-MX"/>
        </w:rPr>
        <w:t xml:space="preserve"> 119 </w:t>
      </w:r>
      <w:r w:rsidR="000B3B48" w:rsidRPr="0050035B">
        <w:rPr>
          <w:rFonts w:ascii="Century Gothic" w:eastAsia="Times New Roman" w:hAnsi="Century Gothic" w:cs="Arial"/>
          <w:lang w:val="es-MX" w:eastAsia="es-MX"/>
        </w:rPr>
        <w:t>respecto a</w:t>
      </w:r>
      <w:r w:rsidRPr="0050035B">
        <w:rPr>
          <w:rFonts w:ascii="Century Gothic" w:eastAsia="Times New Roman" w:hAnsi="Century Gothic" w:cs="Arial"/>
          <w:lang w:val="es-MX" w:eastAsia="es-MX"/>
        </w:rPr>
        <w:t xml:space="preserve"> la autonomía de los </w:t>
      </w:r>
      <w:r w:rsidR="00373DAB" w:rsidRPr="0050035B">
        <w:rPr>
          <w:rFonts w:ascii="Century Gothic" w:eastAsia="Times New Roman" w:hAnsi="Century Gothic" w:cs="Arial"/>
          <w:lang w:val="es-MX" w:eastAsia="es-MX"/>
        </w:rPr>
        <w:t>Municipio</w:t>
      </w:r>
      <w:r w:rsidR="000B3B48" w:rsidRPr="0050035B">
        <w:rPr>
          <w:rFonts w:ascii="Century Gothic" w:eastAsia="Times New Roman" w:hAnsi="Century Gothic" w:cs="Arial"/>
          <w:lang w:val="es-MX" w:eastAsia="es-MX"/>
        </w:rPr>
        <w:t>s establece que é</w:t>
      </w:r>
      <w:r w:rsidRPr="0050035B">
        <w:rPr>
          <w:rFonts w:ascii="Century Gothic" w:eastAsia="Times New Roman" w:hAnsi="Century Gothic" w:cs="Arial"/>
          <w:lang w:val="es-MX" w:eastAsia="es-MX"/>
        </w:rPr>
        <w:t xml:space="preserve">stos “administrarán libremente su </w:t>
      </w:r>
      <w:r w:rsidR="00264B4A" w:rsidRPr="0050035B">
        <w:rPr>
          <w:rFonts w:ascii="Century Gothic" w:eastAsia="Times New Roman" w:hAnsi="Century Gothic" w:cs="Arial"/>
          <w:lang w:val="es-MX" w:eastAsia="es-MX"/>
        </w:rPr>
        <w:t>h</w:t>
      </w:r>
      <w:r w:rsidR="000B3B48" w:rsidRPr="0050035B">
        <w:rPr>
          <w:rFonts w:ascii="Century Gothic" w:eastAsia="Times New Roman" w:hAnsi="Century Gothic" w:cs="Arial"/>
          <w:lang w:val="es-MX" w:eastAsia="es-MX"/>
        </w:rPr>
        <w:t>acienda</w:t>
      </w:r>
      <w:r w:rsidRPr="0050035B">
        <w:rPr>
          <w:rFonts w:ascii="Century Gothic" w:eastAsia="Times New Roman" w:hAnsi="Century Gothic" w:cs="Arial"/>
          <w:lang w:val="es-MX" w:eastAsia="es-MX"/>
        </w:rPr>
        <w:t>, la que se integrará por las contribuciones, aprovechamientos, productos, financiamientos y otros ingresos que la Legislatura establezca a su favor, así como con las participaciones y aportaciones federales que les correspondan o reciban de acuerdo a la ley</w:t>
      </w:r>
      <w:r w:rsidR="007C14DC" w:rsidRPr="0050035B">
        <w:rPr>
          <w:rFonts w:ascii="Century Gothic" w:eastAsia="Times New Roman" w:hAnsi="Century Gothic" w:cs="Arial"/>
          <w:lang w:val="es-MX" w:eastAsia="es-MX"/>
        </w:rPr>
        <w:t>”</w:t>
      </w:r>
      <w:r w:rsidRPr="0050035B">
        <w:rPr>
          <w:rFonts w:ascii="Century Gothic" w:eastAsia="Times New Roman" w:hAnsi="Century Gothic" w:cs="Arial"/>
          <w:lang w:val="es-MX" w:eastAsia="es-MX"/>
        </w:rPr>
        <w:t>. </w:t>
      </w:r>
    </w:p>
    <w:p w:rsidR="00137425" w:rsidRPr="0050035B" w:rsidRDefault="00137425" w:rsidP="00137425">
      <w:pPr>
        <w:spacing w:line="360" w:lineRule="auto"/>
        <w:jc w:val="both"/>
        <w:rPr>
          <w:rFonts w:ascii="Century Gothic" w:eastAsia="Times New Roman" w:hAnsi="Century Gothic" w:cs="Arial"/>
          <w:lang w:val="es-MX" w:eastAsia="es-MX"/>
        </w:rPr>
      </w:pPr>
    </w:p>
    <w:p w:rsidR="00137425" w:rsidRPr="0050035B" w:rsidRDefault="000B3B48" w:rsidP="00DE654C">
      <w:pPr>
        <w:spacing w:line="360" w:lineRule="auto"/>
        <w:ind w:firstLine="720"/>
        <w:jc w:val="both"/>
        <w:rPr>
          <w:rFonts w:ascii="Century Gothic" w:eastAsia="Times New Roman" w:hAnsi="Century Gothic" w:cs="Arial"/>
          <w:lang w:val="es-MX" w:eastAsia="es-MX"/>
        </w:rPr>
      </w:pPr>
      <w:r w:rsidRPr="0050035B">
        <w:rPr>
          <w:rFonts w:ascii="Century Gothic" w:hAnsi="Century Gothic" w:cs="Arial"/>
          <w:shd w:val="clear" w:color="auto" w:fill="FFFFFF"/>
          <w:lang w:val="es-MX"/>
        </w:rPr>
        <w:t xml:space="preserve">Asimismo, señala que </w:t>
      </w:r>
      <w:r w:rsidR="007C14DC" w:rsidRPr="0050035B">
        <w:rPr>
          <w:rFonts w:ascii="Century Gothic" w:hAnsi="Century Gothic" w:cs="Arial"/>
          <w:shd w:val="clear" w:color="auto" w:fill="FFFFFF"/>
          <w:lang w:val="es-MX"/>
        </w:rPr>
        <w:t>“</w:t>
      </w:r>
      <w:r w:rsidRPr="0050035B">
        <w:rPr>
          <w:rFonts w:ascii="Century Gothic" w:hAnsi="Century Gothic" w:cs="Arial"/>
          <w:shd w:val="clear" w:color="auto" w:fill="FFFFFF"/>
          <w:lang w:val="es-MX"/>
        </w:rPr>
        <w:t>l</w:t>
      </w:r>
      <w:r w:rsidR="00137425" w:rsidRPr="0050035B">
        <w:rPr>
          <w:rFonts w:ascii="Century Gothic" w:hAnsi="Century Gothic" w:cs="Arial"/>
          <w:shd w:val="clear" w:color="auto" w:fill="FFFFFF"/>
          <w:lang w:val="es-MX"/>
        </w:rPr>
        <w:t xml:space="preserve">os Ayuntamientos, en el ámbito de su competencia, propondrán al Congreso del </w:t>
      </w:r>
      <w:r w:rsidR="00373DAB" w:rsidRPr="0050035B">
        <w:rPr>
          <w:rFonts w:ascii="Century Gothic" w:hAnsi="Century Gothic" w:cs="Arial"/>
          <w:shd w:val="clear" w:color="auto" w:fill="FFFFFF"/>
          <w:lang w:val="es-MX"/>
        </w:rPr>
        <w:t>Estado</w:t>
      </w:r>
      <w:r w:rsidR="00137425" w:rsidRPr="0050035B">
        <w:rPr>
          <w:rFonts w:ascii="Century Gothic" w:hAnsi="Century Gothic" w:cs="Arial"/>
          <w:shd w:val="clear" w:color="auto" w:fill="FFFFFF"/>
          <w:lang w:val="es-MX"/>
        </w:rPr>
        <w:t xml:space="preserve"> las cuotas y tarifas aplicables a impuestos, derechos, contribuciones de mejoras y las tablas de valores unitarios de suelo y construcciones que sirvan de base para el cobro de las contribuciones </w:t>
      </w:r>
      <w:r w:rsidR="007C14DC" w:rsidRPr="0050035B">
        <w:rPr>
          <w:rFonts w:ascii="Century Gothic" w:hAnsi="Century Gothic" w:cs="Arial"/>
          <w:shd w:val="clear" w:color="auto" w:fill="FFFFFF"/>
          <w:lang w:val="es-MX"/>
        </w:rPr>
        <w:t>sobre la propiedad inmobiliaria</w:t>
      </w:r>
      <w:r w:rsidR="00A32998" w:rsidRPr="0050035B">
        <w:rPr>
          <w:rFonts w:ascii="Century Gothic" w:hAnsi="Century Gothic" w:cs="Arial"/>
          <w:shd w:val="clear" w:color="auto" w:fill="FFFFFF"/>
          <w:lang w:val="es-MX"/>
        </w:rPr>
        <w:t>”</w:t>
      </w:r>
      <w:r w:rsidR="007C14DC" w:rsidRPr="0050035B">
        <w:rPr>
          <w:rFonts w:ascii="Century Gothic" w:hAnsi="Century Gothic" w:cs="Arial"/>
          <w:shd w:val="clear" w:color="auto" w:fill="FFFFFF"/>
          <w:lang w:val="es-MX"/>
        </w:rPr>
        <w:t>.</w:t>
      </w:r>
    </w:p>
    <w:p w:rsidR="00137425" w:rsidRPr="0050035B" w:rsidRDefault="00137425" w:rsidP="008B52D3">
      <w:pPr>
        <w:spacing w:line="360" w:lineRule="auto"/>
        <w:jc w:val="both"/>
        <w:rPr>
          <w:rFonts w:ascii="Century Gothic" w:hAnsi="Century Gothic"/>
          <w:lang w:val="es-MX"/>
        </w:rPr>
      </w:pPr>
    </w:p>
    <w:p w:rsidR="00643208" w:rsidRPr="0050035B" w:rsidRDefault="00643208" w:rsidP="008B52D3">
      <w:pPr>
        <w:spacing w:line="360" w:lineRule="auto"/>
        <w:ind w:firstLine="720"/>
        <w:jc w:val="both"/>
        <w:rPr>
          <w:rFonts w:ascii="Century Gothic" w:hAnsi="Century Gothic"/>
          <w:lang w:val="es-MX"/>
        </w:rPr>
      </w:pPr>
      <w:r w:rsidRPr="0050035B">
        <w:rPr>
          <w:rFonts w:ascii="Century Gothic" w:hAnsi="Century Gothic"/>
          <w:lang w:val="es-MX"/>
        </w:rPr>
        <w:t>Por su parte</w:t>
      </w:r>
      <w:r w:rsidR="006965B0" w:rsidRPr="0050035B">
        <w:rPr>
          <w:rFonts w:ascii="Century Gothic" w:hAnsi="Century Gothic"/>
          <w:lang w:val="es-MX"/>
        </w:rPr>
        <w:t>,</w:t>
      </w:r>
      <w:r w:rsidRPr="0050035B">
        <w:rPr>
          <w:rFonts w:ascii="Century Gothic" w:hAnsi="Century Gothic"/>
          <w:lang w:val="es-MX"/>
        </w:rPr>
        <w:t xml:space="preserve"> el artículo 128 establece que</w:t>
      </w:r>
      <w:r w:rsidR="00276C45" w:rsidRPr="0050035B">
        <w:rPr>
          <w:rFonts w:ascii="Century Gothic" w:hAnsi="Century Gothic"/>
          <w:lang w:val="es-MX"/>
        </w:rPr>
        <w:t>:</w:t>
      </w:r>
      <w:r w:rsidRPr="0050035B">
        <w:rPr>
          <w:rFonts w:ascii="Century Gothic" w:hAnsi="Century Gothic"/>
          <w:lang w:val="es-MX"/>
        </w:rPr>
        <w:t xml:space="preserve"> “Los Ayuntamientos,</w:t>
      </w:r>
      <w:r w:rsidR="00264B4A" w:rsidRPr="0050035B">
        <w:rPr>
          <w:rFonts w:ascii="Century Gothic" w:hAnsi="Century Gothic"/>
          <w:lang w:val="es-MX"/>
        </w:rPr>
        <w:t xml:space="preserve"> a más tardar el 30 de noviembre de cada año,</w:t>
      </w:r>
      <w:r w:rsidRPr="0050035B">
        <w:rPr>
          <w:rFonts w:ascii="Century Gothic" w:hAnsi="Century Gothic"/>
          <w:lang w:val="es-MX"/>
        </w:rPr>
        <w:t xml:space="preserve"> presentarán al Congreso sus proyectos de Presupuestos de Ingresos para que, con su aprobación se pongan en vigor durante el año siguiente”.</w:t>
      </w:r>
    </w:p>
    <w:p w:rsidR="00D82B93" w:rsidRPr="0050035B" w:rsidRDefault="00D82B93" w:rsidP="008B52D3">
      <w:pPr>
        <w:spacing w:line="360" w:lineRule="auto"/>
        <w:jc w:val="both"/>
        <w:rPr>
          <w:rFonts w:ascii="Century Gothic" w:hAnsi="Century Gothic"/>
          <w:b/>
          <w:lang w:val="es-MX"/>
        </w:rPr>
      </w:pPr>
    </w:p>
    <w:p w:rsidR="00643208" w:rsidRPr="0050035B" w:rsidRDefault="00CF13F6" w:rsidP="00643208">
      <w:pPr>
        <w:spacing w:line="360" w:lineRule="auto"/>
        <w:jc w:val="both"/>
        <w:rPr>
          <w:rFonts w:ascii="Century Gothic" w:hAnsi="Century Gothic"/>
          <w:b/>
          <w:lang w:val="es-MX"/>
        </w:rPr>
      </w:pPr>
      <w:r w:rsidRPr="0050035B">
        <w:rPr>
          <w:rFonts w:ascii="Century Gothic" w:hAnsi="Century Gothic"/>
          <w:b/>
          <w:lang w:val="es-MX"/>
        </w:rPr>
        <w:t>1.</w:t>
      </w:r>
      <w:r w:rsidR="00C960F0" w:rsidRPr="0050035B">
        <w:rPr>
          <w:rFonts w:ascii="Century Gothic" w:hAnsi="Century Gothic"/>
          <w:b/>
          <w:lang w:val="es-MX"/>
        </w:rPr>
        <w:t>2.</w:t>
      </w:r>
      <w:r w:rsidR="006D6CB7" w:rsidRPr="0050035B">
        <w:rPr>
          <w:rFonts w:ascii="Century Gothic" w:hAnsi="Century Gothic"/>
          <w:b/>
          <w:lang w:val="es-MX"/>
        </w:rPr>
        <w:t>9</w:t>
      </w:r>
      <w:r w:rsidR="008D7D24" w:rsidRPr="0050035B">
        <w:rPr>
          <w:rFonts w:ascii="Century Gothic" w:hAnsi="Century Gothic"/>
          <w:b/>
          <w:lang w:val="es-MX"/>
        </w:rPr>
        <w:t>.</w:t>
      </w:r>
      <w:r w:rsidR="00643208" w:rsidRPr="0050035B">
        <w:rPr>
          <w:rFonts w:ascii="Century Gothic" w:hAnsi="Century Gothic"/>
          <w:b/>
          <w:lang w:val="es-MX"/>
        </w:rPr>
        <w:t xml:space="preserve"> Ley de Gobierno Municipal del </w:t>
      </w:r>
      <w:r w:rsidR="00373DAB" w:rsidRPr="0050035B">
        <w:rPr>
          <w:rFonts w:ascii="Century Gothic" w:hAnsi="Century Gothic"/>
          <w:b/>
          <w:lang w:val="es-MX"/>
        </w:rPr>
        <w:t>Estado</w:t>
      </w:r>
      <w:r w:rsidR="00643208" w:rsidRPr="0050035B">
        <w:rPr>
          <w:rFonts w:ascii="Century Gothic" w:hAnsi="Century Gothic"/>
          <w:b/>
          <w:lang w:val="es-MX"/>
        </w:rPr>
        <w:t xml:space="preserve"> de Nuevo León</w:t>
      </w:r>
    </w:p>
    <w:p w:rsidR="00643208" w:rsidRPr="0050035B" w:rsidRDefault="00643208" w:rsidP="00A83F08">
      <w:pPr>
        <w:spacing w:line="360" w:lineRule="auto"/>
        <w:jc w:val="both"/>
        <w:rPr>
          <w:rFonts w:ascii="Century Gothic" w:hAnsi="Century Gothic"/>
          <w:lang w:val="es-MX"/>
        </w:rPr>
      </w:pPr>
      <w:r w:rsidRPr="0050035B">
        <w:rPr>
          <w:rFonts w:ascii="Century Gothic" w:hAnsi="Century Gothic"/>
          <w:lang w:val="es-MX"/>
        </w:rPr>
        <w:t>Dentro de esta Ley se señala en el ar</w:t>
      </w:r>
      <w:r w:rsidR="00B1237C" w:rsidRPr="0050035B">
        <w:rPr>
          <w:rFonts w:ascii="Century Gothic" w:hAnsi="Century Gothic"/>
          <w:lang w:val="es-MX"/>
        </w:rPr>
        <w:t>tículo 33, como atribución del A</w:t>
      </w:r>
      <w:r w:rsidRPr="0050035B">
        <w:rPr>
          <w:rFonts w:ascii="Century Gothic" w:hAnsi="Century Gothic"/>
          <w:lang w:val="es-MX"/>
        </w:rPr>
        <w:t>yuntamiento</w:t>
      </w:r>
      <w:r w:rsidR="00DE469F" w:rsidRPr="0050035B">
        <w:rPr>
          <w:rFonts w:ascii="Century Gothic" w:hAnsi="Century Gothic"/>
          <w:lang w:val="es-MX"/>
        </w:rPr>
        <w:t>:</w:t>
      </w:r>
      <w:r w:rsidRPr="0050035B">
        <w:rPr>
          <w:rFonts w:ascii="Century Gothic" w:hAnsi="Century Gothic"/>
          <w:lang w:val="es-MX"/>
        </w:rPr>
        <w:t xml:space="preserve"> “</w:t>
      </w:r>
      <w:r w:rsidR="00B75140">
        <w:rPr>
          <w:rFonts w:ascii="Century Gothic" w:hAnsi="Century Gothic"/>
          <w:lang w:val="es-MX"/>
        </w:rPr>
        <w:t xml:space="preserve">III. </w:t>
      </w:r>
      <w:r w:rsidRPr="0050035B">
        <w:rPr>
          <w:rFonts w:ascii="Century Gothic" w:hAnsi="Century Gothic"/>
          <w:lang w:val="es-MX"/>
        </w:rPr>
        <w:t xml:space="preserve">En materia de Hacienda Pública Municipal: b) </w:t>
      </w:r>
      <w:r w:rsidR="00A83F08" w:rsidRPr="0050035B">
        <w:rPr>
          <w:rFonts w:ascii="Century Gothic" w:hAnsi="Century Gothic"/>
          <w:lang w:val="es-MX"/>
        </w:rPr>
        <w:t>Aprobar el proyecto de presupuesto de ingresos que deberá regir durante el ejercicio fiscal del año siguiente y enviarlo para su revisión y aprobación al Congreso del Estado, a más tardar el 30 de noviembre del año anterior al</w:t>
      </w:r>
      <w:r w:rsidR="007C65C5" w:rsidRPr="0050035B">
        <w:rPr>
          <w:rFonts w:ascii="Century Gothic" w:hAnsi="Century Gothic"/>
          <w:lang w:val="es-MX"/>
        </w:rPr>
        <w:t xml:space="preserve"> que se p</w:t>
      </w:r>
      <w:r w:rsidR="002A1F07" w:rsidRPr="0050035B">
        <w:rPr>
          <w:rFonts w:ascii="Century Gothic" w:hAnsi="Century Gothic"/>
          <w:lang w:val="es-MX"/>
        </w:rPr>
        <w:t>retenda surta efectos…</w:t>
      </w:r>
      <w:r w:rsidRPr="0050035B">
        <w:rPr>
          <w:rFonts w:ascii="Century Gothic" w:hAnsi="Century Gothic"/>
          <w:lang w:val="es-MX"/>
        </w:rPr>
        <w:t>”</w:t>
      </w:r>
    </w:p>
    <w:p w:rsidR="006F4F83" w:rsidRPr="0050035B" w:rsidRDefault="00C75B16" w:rsidP="007075EC">
      <w:pPr>
        <w:spacing w:line="360" w:lineRule="auto"/>
        <w:ind w:firstLine="720"/>
        <w:jc w:val="both"/>
        <w:rPr>
          <w:rFonts w:ascii="Century Gothic" w:hAnsi="Century Gothic"/>
          <w:lang w:val="es-MX"/>
        </w:rPr>
      </w:pPr>
      <w:r w:rsidRPr="0050035B">
        <w:rPr>
          <w:rFonts w:ascii="Century Gothic" w:hAnsi="Century Gothic"/>
          <w:lang w:val="es-MX"/>
        </w:rPr>
        <w:lastRenderedPageBreak/>
        <w:t xml:space="preserve">El </w:t>
      </w:r>
      <w:r w:rsidR="007075EC" w:rsidRPr="0050035B">
        <w:rPr>
          <w:rFonts w:ascii="Century Gothic" w:hAnsi="Century Gothic"/>
          <w:lang w:val="es-MX"/>
        </w:rPr>
        <w:t>artículo</w:t>
      </w:r>
      <w:r w:rsidRPr="0050035B">
        <w:rPr>
          <w:rFonts w:ascii="Century Gothic" w:hAnsi="Century Gothic"/>
          <w:lang w:val="es-MX"/>
        </w:rPr>
        <w:t xml:space="preserve"> 9</w:t>
      </w:r>
      <w:r w:rsidR="006F4F83" w:rsidRPr="0050035B">
        <w:rPr>
          <w:rFonts w:ascii="Century Gothic" w:hAnsi="Century Gothic"/>
          <w:lang w:val="es-MX"/>
        </w:rPr>
        <w:t>9</w:t>
      </w:r>
      <w:r w:rsidRPr="0050035B">
        <w:rPr>
          <w:rFonts w:ascii="Century Gothic" w:hAnsi="Century Gothic"/>
          <w:lang w:val="es-MX"/>
        </w:rPr>
        <w:t xml:space="preserve"> estipula que “</w:t>
      </w:r>
      <w:r w:rsidR="006F4F83" w:rsidRPr="0050035B">
        <w:rPr>
          <w:rFonts w:ascii="Century Gothic" w:hAnsi="Century Gothic"/>
          <w:lang w:val="es-MX"/>
        </w:rPr>
        <w:t xml:space="preserve">La Tesorería Municipal es la dependencia encargada de la recaudación de los ingresos municipales y de las erogaciones que deba hacer el </w:t>
      </w:r>
      <w:r w:rsidR="00373DAB" w:rsidRPr="0050035B">
        <w:rPr>
          <w:rFonts w:ascii="Century Gothic" w:hAnsi="Century Gothic"/>
          <w:lang w:val="es-MX"/>
        </w:rPr>
        <w:t>Municipio</w:t>
      </w:r>
      <w:r w:rsidR="006F4F83" w:rsidRPr="0050035B">
        <w:rPr>
          <w:rFonts w:ascii="Century Gothic" w:hAnsi="Century Gothic"/>
          <w:lang w:val="es-MX"/>
        </w:rPr>
        <w:t xml:space="preserve"> conforme a los presupuestos aprobados con apego al Plan Municipal de Desarrollo</w:t>
      </w:r>
      <w:r w:rsidRPr="0050035B">
        <w:rPr>
          <w:rFonts w:ascii="Century Gothic" w:hAnsi="Century Gothic"/>
          <w:lang w:val="es-MX"/>
        </w:rPr>
        <w:t>”</w:t>
      </w:r>
      <w:r w:rsidR="006F4F83" w:rsidRPr="0050035B">
        <w:rPr>
          <w:rFonts w:ascii="Century Gothic" w:hAnsi="Century Gothic"/>
          <w:lang w:val="es-MX"/>
        </w:rPr>
        <w:t>.</w:t>
      </w:r>
    </w:p>
    <w:p w:rsidR="00643208" w:rsidRPr="0050035B" w:rsidRDefault="00643208" w:rsidP="00643208">
      <w:pPr>
        <w:spacing w:line="360" w:lineRule="auto"/>
        <w:jc w:val="both"/>
        <w:rPr>
          <w:rFonts w:ascii="Century Gothic" w:hAnsi="Century Gothic"/>
          <w:lang w:val="es-MX"/>
        </w:rPr>
      </w:pPr>
    </w:p>
    <w:p w:rsidR="00643208" w:rsidRPr="0050035B" w:rsidRDefault="00643208" w:rsidP="00284EC8">
      <w:pPr>
        <w:spacing w:line="360" w:lineRule="auto"/>
        <w:ind w:firstLine="720"/>
        <w:jc w:val="both"/>
        <w:rPr>
          <w:rFonts w:ascii="Century Gothic" w:hAnsi="Century Gothic"/>
          <w:lang w:val="es-MX"/>
        </w:rPr>
      </w:pPr>
      <w:r w:rsidRPr="0050035B">
        <w:rPr>
          <w:rFonts w:ascii="Century Gothic" w:hAnsi="Century Gothic"/>
          <w:lang w:val="es-MX"/>
        </w:rPr>
        <w:t xml:space="preserve">En su artículo 100, fracción VII, la ley señala: “Son facultades y obligaciones del Tesorero Municipal: … Proporcionar, en tiempo y forma, al </w:t>
      </w:r>
      <w:r w:rsidR="00E070E4" w:rsidRPr="0050035B">
        <w:rPr>
          <w:rFonts w:ascii="Century Gothic" w:hAnsi="Century Gothic"/>
          <w:lang w:val="es-MX"/>
        </w:rPr>
        <w:t>Ayuntamiento, los proyectos de Presupuestos de Egresos y de I</w:t>
      </w:r>
      <w:r w:rsidRPr="0050035B">
        <w:rPr>
          <w:rFonts w:ascii="Century Gothic" w:hAnsi="Century Gothic"/>
          <w:lang w:val="es-MX"/>
        </w:rPr>
        <w:t>ngresos;”.</w:t>
      </w:r>
    </w:p>
    <w:p w:rsidR="00643208" w:rsidRPr="0050035B" w:rsidRDefault="00643208" w:rsidP="00284EC8">
      <w:pPr>
        <w:spacing w:line="360" w:lineRule="auto"/>
        <w:jc w:val="both"/>
        <w:rPr>
          <w:rFonts w:ascii="Century Gothic" w:hAnsi="Century Gothic"/>
          <w:lang w:val="es-MX"/>
        </w:rPr>
      </w:pPr>
    </w:p>
    <w:p w:rsidR="00743BFD" w:rsidRPr="0050035B" w:rsidRDefault="00643208" w:rsidP="00A83F08">
      <w:pPr>
        <w:spacing w:line="360" w:lineRule="auto"/>
        <w:ind w:firstLine="720"/>
        <w:jc w:val="both"/>
        <w:rPr>
          <w:rFonts w:ascii="Century Gothic" w:hAnsi="Century Gothic"/>
          <w:lang w:val="es-MX"/>
        </w:rPr>
      </w:pPr>
      <w:r w:rsidRPr="0050035B">
        <w:rPr>
          <w:rFonts w:ascii="Century Gothic" w:hAnsi="Century Gothic"/>
          <w:lang w:val="es-MX"/>
        </w:rPr>
        <w:t>De manera complementaria el artículo 174 señala: “Los Presupuestos de Ingresos Municipales tendrán vigencia anual y regirán el ejercicio fiscal de que se trate, a partir del 1° de enero y hasta el 31 de diciembre del año que corresponda</w:t>
      </w:r>
      <w:r w:rsidR="00E070E4" w:rsidRPr="0050035B">
        <w:rPr>
          <w:rFonts w:ascii="Century Gothic" w:hAnsi="Century Gothic"/>
          <w:lang w:val="es-MX"/>
        </w:rPr>
        <w:t>”. E</w:t>
      </w:r>
      <w:r w:rsidRPr="0050035B">
        <w:rPr>
          <w:rFonts w:ascii="Century Gothic" w:hAnsi="Century Gothic"/>
          <w:lang w:val="es-MX"/>
        </w:rPr>
        <w:t xml:space="preserve">l </w:t>
      </w:r>
      <w:r w:rsidR="00E070E4" w:rsidRPr="0050035B">
        <w:rPr>
          <w:rFonts w:ascii="Century Gothic" w:hAnsi="Century Gothic"/>
          <w:lang w:val="es-MX"/>
        </w:rPr>
        <w:t xml:space="preserve">artículo </w:t>
      </w:r>
      <w:r w:rsidRPr="0050035B">
        <w:rPr>
          <w:rFonts w:ascii="Century Gothic" w:hAnsi="Century Gothic"/>
          <w:lang w:val="es-MX"/>
        </w:rPr>
        <w:t xml:space="preserve">175 reitera: “… </w:t>
      </w:r>
      <w:r w:rsidR="00A83F08" w:rsidRPr="0050035B">
        <w:rPr>
          <w:rFonts w:ascii="Century Gothic" w:hAnsi="Century Gothic"/>
          <w:lang w:val="es-MX"/>
        </w:rPr>
        <w:t xml:space="preserve">El Ayuntamiento deberá someter anualmente, al Congreso del Estado, para su examen y aprobación, su proyecto de Presupuesto de Ingresos, a más tardar el 30 de noviembre. De no realizarlo, el Congreso declarará aplicable para el siguiente ejercicio fiscal el que se encuentre en vigor, con las modificaciones que se estimen pertinentes, sin demérito de que dicho proyecto se apruebe posteriormente. El proyecto de Presupuesto de Ingresos será remitido al Congreso del Estado al mayor detalle posible, en conjunto con los elementos de juicio suficientes que justifiquen el comportamiento proyectado de los mismos”. </w:t>
      </w:r>
    </w:p>
    <w:p w:rsidR="00743BFD" w:rsidRPr="0050035B" w:rsidRDefault="00743BFD" w:rsidP="00A83F08">
      <w:pPr>
        <w:spacing w:line="360" w:lineRule="auto"/>
        <w:ind w:firstLine="720"/>
        <w:jc w:val="both"/>
        <w:rPr>
          <w:rFonts w:ascii="Century Gothic" w:hAnsi="Century Gothic"/>
          <w:lang w:val="es-MX"/>
        </w:rPr>
      </w:pPr>
    </w:p>
    <w:p w:rsidR="00643208" w:rsidRPr="0050035B" w:rsidRDefault="00A83F08" w:rsidP="00A83F08">
      <w:pPr>
        <w:spacing w:line="360" w:lineRule="auto"/>
        <w:ind w:firstLine="720"/>
        <w:jc w:val="both"/>
        <w:rPr>
          <w:rFonts w:ascii="Century Gothic" w:hAnsi="Century Gothic"/>
          <w:lang w:val="es-MX"/>
        </w:rPr>
      </w:pPr>
      <w:r w:rsidRPr="0050035B">
        <w:rPr>
          <w:rFonts w:ascii="Century Gothic" w:hAnsi="Century Gothic"/>
          <w:lang w:val="es-MX"/>
        </w:rPr>
        <w:t>E</w:t>
      </w:r>
      <w:r w:rsidR="00643208" w:rsidRPr="0050035B">
        <w:rPr>
          <w:rFonts w:ascii="Century Gothic" w:hAnsi="Century Gothic"/>
          <w:lang w:val="es-MX"/>
        </w:rPr>
        <w:t>n este mismo sentido el</w:t>
      </w:r>
      <w:r w:rsidR="00743BFD" w:rsidRPr="0050035B">
        <w:rPr>
          <w:rFonts w:ascii="Century Gothic" w:hAnsi="Century Gothic"/>
          <w:lang w:val="es-MX"/>
        </w:rPr>
        <w:t xml:space="preserve"> artículo</w:t>
      </w:r>
      <w:r w:rsidR="002A1F07" w:rsidRPr="0050035B">
        <w:rPr>
          <w:rFonts w:ascii="Century Gothic" w:hAnsi="Century Gothic"/>
          <w:lang w:val="es-MX"/>
        </w:rPr>
        <w:t xml:space="preserve"> 176 establece que:</w:t>
      </w:r>
      <w:r w:rsidR="00BD048E" w:rsidRPr="0050035B">
        <w:rPr>
          <w:rFonts w:ascii="Century Gothic" w:hAnsi="Century Gothic"/>
          <w:lang w:val="es-MX"/>
        </w:rPr>
        <w:t xml:space="preserve"> “L</w:t>
      </w:r>
      <w:r w:rsidR="00643208" w:rsidRPr="0050035B">
        <w:rPr>
          <w:rFonts w:ascii="Century Gothic" w:hAnsi="Century Gothic"/>
          <w:lang w:val="es-MX"/>
        </w:rPr>
        <w:t>os anteproyectos de Leyes de Ingresos y los Presupuestos de Egresos se deberán elaborar por el Ayuntamiento con estricto apego a las disposiciones contenidas en las leyes</w:t>
      </w:r>
      <w:r w:rsidR="005263A4" w:rsidRPr="0050035B">
        <w:rPr>
          <w:rFonts w:ascii="Century Gothic" w:hAnsi="Century Gothic"/>
          <w:lang w:val="es-MX"/>
        </w:rPr>
        <w:t xml:space="preserve">, reglamentos y demás disposiciones </w:t>
      </w:r>
      <w:r w:rsidR="005263A4" w:rsidRPr="0050035B">
        <w:rPr>
          <w:rFonts w:ascii="Century Gothic" w:hAnsi="Century Gothic"/>
          <w:lang w:val="es-MX"/>
        </w:rPr>
        <w:lastRenderedPageBreak/>
        <w:t>fiscales de carácter general, federal, estatal y municipal y en base, además, a los Convenios respectivos”.</w:t>
      </w:r>
    </w:p>
    <w:p w:rsidR="00743BFD" w:rsidRPr="0050035B" w:rsidRDefault="00743BFD" w:rsidP="00643208">
      <w:pPr>
        <w:spacing w:line="360" w:lineRule="auto"/>
        <w:ind w:firstLine="720"/>
        <w:jc w:val="both"/>
        <w:rPr>
          <w:rFonts w:ascii="Century Gothic" w:hAnsi="Century Gothic"/>
          <w:lang w:val="es-MX"/>
        </w:rPr>
      </w:pPr>
    </w:p>
    <w:p w:rsidR="00643208" w:rsidRDefault="00643208" w:rsidP="00643208">
      <w:pPr>
        <w:spacing w:line="360" w:lineRule="auto"/>
        <w:ind w:firstLine="720"/>
        <w:jc w:val="both"/>
        <w:rPr>
          <w:rFonts w:ascii="Century Gothic" w:hAnsi="Century Gothic"/>
          <w:lang w:val="es-MX"/>
        </w:rPr>
      </w:pPr>
      <w:r w:rsidRPr="0050035B">
        <w:rPr>
          <w:rFonts w:ascii="Century Gothic" w:hAnsi="Century Gothic"/>
          <w:lang w:val="es-MX"/>
        </w:rPr>
        <w:t xml:space="preserve">Por último, el artículo 189 señala que: “El Congreso del </w:t>
      </w:r>
      <w:r w:rsidR="00373DAB" w:rsidRPr="0050035B">
        <w:rPr>
          <w:rFonts w:ascii="Century Gothic" w:hAnsi="Century Gothic"/>
          <w:lang w:val="es-MX"/>
        </w:rPr>
        <w:t>Estado</w:t>
      </w:r>
      <w:r w:rsidRPr="0050035B">
        <w:rPr>
          <w:rFonts w:ascii="Century Gothic" w:hAnsi="Century Gothic"/>
          <w:lang w:val="es-MX"/>
        </w:rPr>
        <w:t xml:space="preserve"> autorizará anualmente en el Presupuesto de Ingresos del Ayuntamiento los montos de endeudamiento neto</w:t>
      </w:r>
      <w:r w:rsidR="002A1F07" w:rsidRPr="0050035B">
        <w:rPr>
          <w:rFonts w:ascii="Century Gothic" w:hAnsi="Century Gothic"/>
          <w:lang w:val="es-MX"/>
        </w:rPr>
        <w:t xml:space="preserve"> que sean necesarios para el financiamiento de los programas de las dependencias y entidades que integran la Administración Pública Municipal”; </w:t>
      </w:r>
      <w:r w:rsidRPr="0050035B">
        <w:rPr>
          <w:rFonts w:ascii="Century Gothic" w:hAnsi="Century Gothic"/>
          <w:lang w:val="es-MX"/>
        </w:rPr>
        <w:t xml:space="preserve">complementa el artículo 190 </w:t>
      </w:r>
      <w:r w:rsidR="007222BB" w:rsidRPr="0050035B">
        <w:rPr>
          <w:rFonts w:ascii="Century Gothic" w:hAnsi="Century Gothic"/>
          <w:lang w:val="es-MX"/>
        </w:rPr>
        <w:t xml:space="preserve">estipulando </w:t>
      </w:r>
      <w:r w:rsidR="002A1F07" w:rsidRPr="0050035B">
        <w:rPr>
          <w:rFonts w:ascii="Century Gothic" w:hAnsi="Century Gothic"/>
          <w:lang w:val="es-MX"/>
        </w:rPr>
        <w:t>que: “</w:t>
      </w:r>
      <w:r w:rsidRPr="0050035B">
        <w:rPr>
          <w:rFonts w:ascii="Century Gothic" w:hAnsi="Century Gothic"/>
          <w:lang w:val="es-MX"/>
        </w:rPr>
        <w:t xml:space="preserve">El Ayuntamiento, en base a su programa financiero anual, al someter al Congreso del </w:t>
      </w:r>
      <w:r w:rsidR="00373DAB" w:rsidRPr="0050035B">
        <w:rPr>
          <w:rFonts w:ascii="Century Gothic" w:hAnsi="Century Gothic"/>
          <w:lang w:val="es-MX"/>
        </w:rPr>
        <w:t>Estado</w:t>
      </w:r>
      <w:r w:rsidRPr="0050035B">
        <w:rPr>
          <w:rFonts w:ascii="Century Gothic" w:hAnsi="Century Gothic"/>
          <w:lang w:val="es-MX"/>
        </w:rPr>
        <w:t xml:space="preserve"> los proyectos de Presupuesto de Ingresos, deberá proponer, en su caso, los montos globales de endeudamiento para el financiamiento de su Presupuesto de Egresos, proporcionando los elementos de juicio suficientes para fundamentar su propuesta</w:t>
      </w:r>
      <w:r w:rsidR="008D7D24" w:rsidRPr="0050035B">
        <w:rPr>
          <w:rFonts w:ascii="Century Gothic" w:hAnsi="Century Gothic"/>
          <w:lang w:val="es-MX"/>
        </w:rPr>
        <w:t>”.</w:t>
      </w:r>
      <w:r w:rsidRPr="0050035B">
        <w:rPr>
          <w:rFonts w:ascii="Century Gothic" w:hAnsi="Century Gothic"/>
          <w:lang w:val="es-MX"/>
        </w:rPr>
        <w:t xml:space="preserve"> </w:t>
      </w:r>
    </w:p>
    <w:p w:rsidR="00C17543" w:rsidRPr="0050035B" w:rsidRDefault="00C17543" w:rsidP="00643208">
      <w:pPr>
        <w:spacing w:line="360" w:lineRule="auto"/>
        <w:ind w:firstLine="720"/>
        <w:jc w:val="both"/>
        <w:rPr>
          <w:rFonts w:ascii="Century Gothic" w:hAnsi="Century Gothic"/>
          <w:lang w:val="es-MX"/>
        </w:rPr>
      </w:pPr>
    </w:p>
    <w:p w:rsidR="00643208" w:rsidRPr="0050035B" w:rsidRDefault="00CF13F6" w:rsidP="00681048">
      <w:pPr>
        <w:spacing w:line="360" w:lineRule="auto"/>
        <w:jc w:val="both"/>
        <w:rPr>
          <w:rFonts w:ascii="Century Gothic" w:hAnsi="Century Gothic"/>
          <w:lang w:val="es-MX"/>
        </w:rPr>
      </w:pPr>
      <w:r w:rsidRPr="0050035B">
        <w:rPr>
          <w:rFonts w:ascii="Century Gothic" w:hAnsi="Century Gothic"/>
          <w:b/>
          <w:lang w:val="es-MX"/>
        </w:rPr>
        <w:t>1.</w:t>
      </w:r>
      <w:r w:rsidR="00C960F0" w:rsidRPr="0050035B">
        <w:rPr>
          <w:rFonts w:ascii="Century Gothic" w:hAnsi="Century Gothic"/>
          <w:b/>
          <w:lang w:val="es-MX"/>
        </w:rPr>
        <w:t>2.</w:t>
      </w:r>
      <w:r w:rsidR="006D6CB7" w:rsidRPr="0050035B">
        <w:rPr>
          <w:rFonts w:ascii="Century Gothic" w:hAnsi="Century Gothic"/>
          <w:b/>
          <w:lang w:val="es-MX"/>
        </w:rPr>
        <w:t>10</w:t>
      </w:r>
      <w:r w:rsidR="008D7D24" w:rsidRPr="0050035B">
        <w:rPr>
          <w:rFonts w:ascii="Century Gothic" w:hAnsi="Century Gothic"/>
          <w:b/>
          <w:lang w:val="es-MX"/>
        </w:rPr>
        <w:t>.</w:t>
      </w:r>
      <w:r w:rsidR="002C0B1B" w:rsidRPr="0050035B">
        <w:rPr>
          <w:rFonts w:ascii="Century Gothic" w:hAnsi="Century Gothic"/>
          <w:b/>
          <w:lang w:val="es-MX"/>
        </w:rPr>
        <w:t xml:space="preserve"> </w:t>
      </w:r>
      <w:r w:rsidR="00681048" w:rsidRPr="0050035B">
        <w:rPr>
          <w:rFonts w:ascii="Century Gothic" w:hAnsi="Century Gothic"/>
          <w:b/>
          <w:lang w:val="es-MX"/>
        </w:rPr>
        <w:t xml:space="preserve">Código Fiscal </w:t>
      </w:r>
      <w:r w:rsidR="00785601" w:rsidRPr="0050035B">
        <w:rPr>
          <w:rFonts w:ascii="Century Gothic" w:hAnsi="Century Gothic"/>
          <w:b/>
          <w:lang w:val="es-MX"/>
        </w:rPr>
        <w:t>del</w:t>
      </w:r>
      <w:r w:rsidR="00681048" w:rsidRPr="0050035B">
        <w:rPr>
          <w:rFonts w:ascii="Century Gothic" w:hAnsi="Century Gothic"/>
          <w:b/>
          <w:lang w:val="es-MX"/>
        </w:rPr>
        <w:t xml:space="preserve"> </w:t>
      </w:r>
      <w:r w:rsidR="00373DAB" w:rsidRPr="0050035B">
        <w:rPr>
          <w:rFonts w:ascii="Century Gothic" w:hAnsi="Century Gothic"/>
          <w:b/>
          <w:lang w:val="es-MX"/>
        </w:rPr>
        <w:t>Estado</w:t>
      </w:r>
      <w:r w:rsidR="00681048" w:rsidRPr="0050035B">
        <w:rPr>
          <w:rFonts w:ascii="Century Gothic" w:hAnsi="Century Gothic"/>
          <w:b/>
          <w:lang w:val="es-MX"/>
        </w:rPr>
        <w:t xml:space="preserve"> de Nuevo León</w:t>
      </w:r>
    </w:p>
    <w:p w:rsidR="00681048" w:rsidRPr="0050035B" w:rsidRDefault="007075EC" w:rsidP="00681048">
      <w:pPr>
        <w:spacing w:line="360" w:lineRule="auto"/>
        <w:jc w:val="both"/>
        <w:rPr>
          <w:rFonts w:ascii="Century Gothic" w:hAnsi="Century Gothic"/>
          <w:lang w:val="es-MX"/>
        </w:rPr>
      </w:pPr>
      <w:r w:rsidRPr="0050035B">
        <w:rPr>
          <w:rFonts w:ascii="Century Gothic" w:hAnsi="Century Gothic"/>
          <w:lang w:val="es-MX"/>
        </w:rPr>
        <w:t>El artí</w:t>
      </w:r>
      <w:r w:rsidR="00C75B16" w:rsidRPr="0050035B">
        <w:rPr>
          <w:rFonts w:ascii="Century Gothic" w:hAnsi="Century Gothic"/>
          <w:lang w:val="es-MX"/>
        </w:rPr>
        <w:t>culo</w:t>
      </w:r>
      <w:r w:rsidR="00681048" w:rsidRPr="0050035B">
        <w:rPr>
          <w:rFonts w:ascii="Century Gothic" w:hAnsi="Century Gothic"/>
          <w:lang w:val="es-MX"/>
        </w:rPr>
        <w:t xml:space="preserve"> 3</w:t>
      </w:r>
      <w:r w:rsidR="00C75B16" w:rsidRPr="0050035B">
        <w:rPr>
          <w:rFonts w:ascii="Century Gothic" w:hAnsi="Century Gothic"/>
          <w:lang w:val="es-MX"/>
        </w:rPr>
        <w:t xml:space="preserve"> permite una mejor comprensión de las diversas </w:t>
      </w:r>
      <w:r w:rsidR="008D7D24" w:rsidRPr="0050035B">
        <w:rPr>
          <w:rFonts w:ascii="Century Gothic" w:hAnsi="Century Gothic"/>
          <w:lang w:val="es-MX"/>
        </w:rPr>
        <w:t>contribuciones que</w:t>
      </w:r>
      <w:r w:rsidR="00C75B16" w:rsidRPr="0050035B">
        <w:rPr>
          <w:rFonts w:ascii="Century Gothic" w:hAnsi="Century Gothic"/>
          <w:lang w:val="es-MX"/>
        </w:rPr>
        <w:t xml:space="preserve"> pueden percibir los entes públicos las cuales “</w:t>
      </w:r>
      <w:r w:rsidR="00474784" w:rsidRPr="0050035B">
        <w:rPr>
          <w:rFonts w:ascii="Century Gothic" w:hAnsi="Century Gothic"/>
          <w:lang w:val="es-MX"/>
        </w:rPr>
        <w:t>…</w:t>
      </w:r>
      <w:r w:rsidR="00681048" w:rsidRPr="0050035B">
        <w:rPr>
          <w:rFonts w:ascii="Century Gothic" w:hAnsi="Century Gothic"/>
          <w:lang w:val="es-MX"/>
        </w:rPr>
        <w:t xml:space="preserve">se clasifican en impuestos, derechos y contribuciones especiales, los que se </w:t>
      </w:r>
      <w:r w:rsidR="00C75B16" w:rsidRPr="0050035B">
        <w:rPr>
          <w:rFonts w:ascii="Century Gothic" w:hAnsi="Century Gothic"/>
          <w:lang w:val="es-MX"/>
        </w:rPr>
        <w:t xml:space="preserve">definen de la siguiente manera: </w:t>
      </w:r>
      <w:r w:rsidR="00681048" w:rsidRPr="0050035B">
        <w:rPr>
          <w:rFonts w:ascii="Century Gothic" w:hAnsi="Century Gothic"/>
          <w:lang w:val="es-MX"/>
        </w:rPr>
        <w:t xml:space="preserve">I.- </w:t>
      </w:r>
      <w:r w:rsidR="00681048" w:rsidRPr="0050035B">
        <w:rPr>
          <w:rFonts w:ascii="Century Gothic" w:hAnsi="Century Gothic"/>
          <w:i/>
          <w:lang w:val="es-MX"/>
        </w:rPr>
        <w:t>Impuestos</w:t>
      </w:r>
      <w:r w:rsidR="00681048" w:rsidRPr="0050035B">
        <w:rPr>
          <w:rFonts w:ascii="Century Gothic" w:hAnsi="Century Gothic"/>
          <w:lang w:val="es-MX"/>
        </w:rPr>
        <w:t xml:space="preserve"> son las prestaciones establecidas en ley que deben pagar las personas físicas y morales que se encuentren en la situación jurídica o de hecho prevista por la misma y que sean distintas de las señaladas en las fracciones II y III de este artículo.</w:t>
      </w:r>
      <w:r w:rsidR="00C75B16" w:rsidRPr="0050035B">
        <w:rPr>
          <w:rFonts w:ascii="Century Gothic" w:hAnsi="Century Gothic"/>
          <w:lang w:val="es-MX"/>
        </w:rPr>
        <w:t xml:space="preserve"> </w:t>
      </w:r>
      <w:r w:rsidR="00681048" w:rsidRPr="0050035B">
        <w:rPr>
          <w:rFonts w:ascii="Century Gothic" w:hAnsi="Century Gothic"/>
          <w:lang w:val="es-MX"/>
        </w:rPr>
        <w:t xml:space="preserve">II.- </w:t>
      </w:r>
      <w:r w:rsidR="00681048" w:rsidRPr="0050035B">
        <w:rPr>
          <w:rFonts w:ascii="Century Gothic" w:hAnsi="Century Gothic"/>
          <w:i/>
          <w:lang w:val="es-MX"/>
        </w:rPr>
        <w:t>Derechos</w:t>
      </w:r>
      <w:r w:rsidR="00681048" w:rsidRPr="0050035B">
        <w:rPr>
          <w:rFonts w:ascii="Century Gothic" w:hAnsi="Century Gothic"/>
          <w:lang w:val="es-MX"/>
        </w:rPr>
        <w:t xml:space="preserve"> son las contribuciones establecidas en Ley por el uso o aprovechamiento de los bienes del dominio público del </w:t>
      </w:r>
      <w:r w:rsidR="00373DAB" w:rsidRPr="0050035B">
        <w:rPr>
          <w:rFonts w:ascii="Century Gothic" w:hAnsi="Century Gothic"/>
          <w:lang w:val="es-MX"/>
        </w:rPr>
        <w:t>Estado</w:t>
      </w:r>
      <w:r w:rsidR="00681048" w:rsidRPr="0050035B">
        <w:rPr>
          <w:rFonts w:ascii="Century Gothic" w:hAnsi="Century Gothic"/>
          <w:lang w:val="es-MX"/>
        </w:rPr>
        <w:t xml:space="preserve">, así como por recibir servicios que presta el </w:t>
      </w:r>
      <w:r w:rsidR="00373DAB" w:rsidRPr="0050035B">
        <w:rPr>
          <w:rFonts w:ascii="Century Gothic" w:hAnsi="Century Gothic"/>
          <w:lang w:val="es-MX"/>
        </w:rPr>
        <w:t>Estado</w:t>
      </w:r>
      <w:r w:rsidR="00681048" w:rsidRPr="0050035B">
        <w:rPr>
          <w:rFonts w:ascii="Century Gothic" w:hAnsi="Century Gothic"/>
          <w:lang w:val="es-MX"/>
        </w:rPr>
        <w:t xml:space="preserve"> en sus funciones de derecho público.</w:t>
      </w:r>
      <w:r w:rsidR="0037309F" w:rsidRPr="0050035B">
        <w:rPr>
          <w:rFonts w:ascii="Century Gothic" w:hAnsi="Century Gothic"/>
          <w:lang w:val="es-MX"/>
        </w:rPr>
        <w:t xml:space="preserve"> </w:t>
      </w:r>
      <w:r w:rsidR="00681048" w:rsidRPr="0050035B">
        <w:rPr>
          <w:rFonts w:ascii="Century Gothic" w:hAnsi="Century Gothic"/>
          <w:lang w:val="es-MX"/>
        </w:rPr>
        <w:t xml:space="preserve">III.- </w:t>
      </w:r>
      <w:r w:rsidR="00681048" w:rsidRPr="0050035B">
        <w:rPr>
          <w:rFonts w:ascii="Century Gothic" w:hAnsi="Century Gothic"/>
          <w:i/>
          <w:lang w:val="es-MX"/>
        </w:rPr>
        <w:t>Contribuciones</w:t>
      </w:r>
      <w:r w:rsidR="00681048" w:rsidRPr="0050035B">
        <w:rPr>
          <w:rFonts w:ascii="Century Gothic" w:hAnsi="Century Gothic"/>
          <w:lang w:val="es-MX"/>
        </w:rPr>
        <w:t xml:space="preserve"> especiales son las prestaciones cuyo </w:t>
      </w:r>
      <w:r w:rsidR="00821D13" w:rsidRPr="0050035B">
        <w:rPr>
          <w:rFonts w:ascii="Century Gothic" w:hAnsi="Century Gothic"/>
          <w:lang w:val="es-MX"/>
        </w:rPr>
        <w:t>presupuesto</w:t>
      </w:r>
      <w:r w:rsidR="00681048" w:rsidRPr="0050035B">
        <w:rPr>
          <w:rFonts w:ascii="Century Gothic" w:hAnsi="Century Gothic"/>
          <w:lang w:val="es-MX"/>
        </w:rPr>
        <w:t xml:space="preserve"> de hecho se caracteriza por un beneficio económico particular proporcionado al contribuyente por la realización de obras públicas o de tareas estatales o municipales </w:t>
      </w:r>
      <w:r w:rsidR="00681048" w:rsidRPr="0050035B">
        <w:rPr>
          <w:rFonts w:ascii="Century Gothic" w:hAnsi="Century Gothic"/>
          <w:lang w:val="es-MX"/>
        </w:rPr>
        <w:lastRenderedPageBreak/>
        <w:t>provocadas por las actividades del contribuyente.</w:t>
      </w:r>
      <w:r w:rsidR="0037309F" w:rsidRPr="0050035B">
        <w:rPr>
          <w:rFonts w:ascii="Century Gothic" w:hAnsi="Century Gothic"/>
          <w:lang w:val="es-MX"/>
        </w:rPr>
        <w:t xml:space="preserve"> </w:t>
      </w:r>
      <w:r w:rsidR="00681048" w:rsidRPr="0050035B">
        <w:rPr>
          <w:rFonts w:ascii="Century Gothic" w:hAnsi="Century Gothic"/>
          <w:lang w:val="es-MX"/>
        </w:rPr>
        <w:t>Su rendimiento no debe tener un destino ajeno al financiamiento de las obras o actividades correspondientes.</w:t>
      </w:r>
      <w:r w:rsidR="00C75B16" w:rsidRPr="0050035B">
        <w:rPr>
          <w:rFonts w:ascii="Century Gothic" w:hAnsi="Century Gothic"/>
          <w:lang w:val="es-MX"/>
        </w:rPr>
        <w:t xml:space="preserve"> </w:t>
      </w:r>
      <w:r w:rsidR="00681048" w:rsidRPr="0050035B">
        <w:rPr>
          <w:rFonts w:ascii="Century Gothic" w:hAnsi="Century Gothic"/>
          <w:lang w:val="es-MX"/>
        </w:rPr>
        <w:t>Los recargos, las sanciones, los gastos de ejecución y la indemnización a que se refiere el penúltimo párrafo del artículo 22 de este Código, son accesorios de las contribuciones y participan de la naturaleza de éstas</w:t>
      </w:r>
      <w:r w:rsidR="007C14DC" w:rsidRPr="0050035B">
        <w:rPr>
          <w:rFonts w:ascii="Century Gothic" w:hAnsi="Century Gothic"/>
          <w:lang w:val="es-MX"/>
        </w:rPr>
        <w:t>”</w:t>
      </w:r>
      <w:r w:rsidR="00681048" w:rsidRPr="0050035B">
        <w:rPr>
          <w:rFonts w:ascii="Century Gothic" w:hAnsi="Century Gothic"/>
          <w:lang w:val="es-MX"/>
        </w:rPr>
        <w:t>.</w:t>
      </w:r>
    </w:p>
    <w:p w:rsidR="00681048" w:rsidRPr="0050035B" w:rsidRDefault="00681048" w:rsidP="00681048">
      <w:pPr>
        <w:spacing w:line="360" w:lineRule="auto"/>
        <w:jc w:val="both"/>
        <w:rPr>
          <w:rFonts w:ascii="Century Gothic" w:hAnsi="Century Gothic"/>
          <w:lang w:val="es-MX"/>
        </w:rPr>
      </w:pPr>
    </w:p>
    <w:p w:rsidR="00C75B16" w:rsidRPr="0050035B" w:rsidRDefault="009B2913" w:rsidP="0037309F">
      <w:pPr>
        <w:spacing w:line="360" w:lineRule="auto"/>
        <w:ind w:firstLine="720"/>
        <w:jc w:val="both"/>
        <w:rPr>
          <w:rFonts w:ascii="Century Gothic" w:hAnsi="Century Gothic"/>
          <w:lang w:val="es-MX"/>
        </w:rPr>
      </w:pPr>
      <w:r w:rsidRPr="0050035B">
        <w:rPr>
          <w:rFonts w:ascii="Century Gothic" w:hAnsi="Century Gothic"/>
          <w:lang w:val="es-MX"/>
        </w:rPr>
        <w:t>Continú</w:t>
      </w:r>
      <w:r w:rsidR="0037309F" w:rsidRPr="0050035B">
        <w:rPr>
          <w:rFonts w:ascii="Century Gothic" w:hAnsi="Century Gothic"/>
          <w:lang w:val="es-MX"/>
        </w:rPr>
        <w:t>a el</w:t>
      </w:r>
      <w:r w:rsidR="00C75B16" w:rsidRPr="0050035B">
        <w:rPr>
          <w:rFonts w:ascii="Century Gothic" w:hAnsi="Century Gothic"/>
          <w:lang w:val="es-MX"/>
        </w:rPr>
        <w:t xml:space="preserve"> </w:t>
      </w:r>
      <w:r w:rsidR="007075EC" w:rsidRPr="0050035B">
        <w:rPr>
          <w:rFonts w:ascii="Century Gothic" w:hAnsi="Century Gothic"/>
          <w:lang w:val="es-MX"/>
        </w:rPr>
        <w:t>artí</w:t>
      </w:r>
      <w:r w:rsidR="00C75B16" w:rsidRPr="0050035B">
        <w:rPr>
          <w:rFonts w:ascii="Century Gothic" w:hAnsi="Century Gothic"/>
          <w:lang w:val="es-MX"/>
        </w:rPr>
        <w:t>culo 4 exponiendo</w:t>
      </w:r>
      <w:r w:rsidR="0037309F" w:rsidRPr="0050035B">
        <w:rPr>
          <w:rFonts w:ascii="Century Gothic" w:hAnsi="Century Gothic"/>
          <w:lang w:val="es-MX"/>
        </w:rPr>
        <w:t xml:space="preserve"> </w:t>
      </w:r>
      <w:r w:rsidR="00DF388F" w:rsidRPr="0050035B">
        <w:rPr>
          <w:rFonts w:ascii="Century Gothic" w:hAnsi="Century Gothic"/>
          <w:lang w:val="es-MX"/>
        </w:rPr>
        <w:t xml:space="preserve">sobre los </w:t>
      </w:r>
      <w:r w:rsidR="00DF388F" w:rsidRPr="0050035B">
        <w:rPr>
          <w:rFonts w:ascii="Century Gothic" w:hAnsi="Century Gothic"/>
          <w:i/>
          <w:lang w:val="es-MX"/>
        </w:rPr>
        <w:t>A</w:t>
      </w:r>
      <w:r w:rsidR="00C75B16" w:rsidRPr="0050035B">
        <w:rPr>
          <w:rFonts w:ascii="Century Gothic" w:hAnsi="Century Gothic"/>
          <w:i/>
          <w:lang w:val="es-MX"/>
        </w:rPr>
        <w:t>provechamientos</w:t>
      </w:r>
      <w:r w:rsidRPr="0050035B">
        <w:rPr>
          <w:rFonts w:ascii="Century Gothic" w:hAnsi="Century Gothic"/>
          <w:lang w:val="es-MX"/>
        </w:rPr>
        <w:t>,</w:t>
      </w:r>
      <w:r w:rsidR="00C75B16" w:rsidRPr="0050035B">
        <w:rPr>
          <w:rFonts w:ascii="Century Gothic" w:hAnsi="Century Gothic"/>
          <w:lang w:val="es-MX"/>
        </w:rPr>
        <w:t xml:space="preserve"> que son “los </w:t>
      </w:r>
      <w:r w:rsidR="00681048" w:rsidRPr="0050035B">
        <w:rPr>
          <w:rFonts w:ascii="Century Gothic" w:hAnsi="Century Gothic"/>
          <w:lang w:val="es-MX"/>
        </w:rPr>
        <w:t xml:space="preserve">ingresos distintos de las contribuciones que percibe el </w:t>
      </w:r>
      <w:r w:rsidR="00373DAB" w:rsidRPr="0050035B">
        <w:rPr>
          <w:rFonts w:ascii="Century Gothic" w:hAnsi="Century Gothic"/>
          <w:lang w:val="es-MX"/>
        </w:rPr>
        <w:t>Estado</w:t>
      </w:r>
      <w:r w:rsidR="00681048" w:rsidRPr="0050035B">
        <w:rPr>
          <w:rFonts w:ascii="Century Gothic" w:hAnsi="Century Gothic"/>
          <w:lang w:val="es-MX"/>
        </w:rPr>
        <w:t xml:space="preserve"> por funciones de derecho público, los ingresos derivados de financiamientos y los que obtengan los organismos descentralizados que no tengan la naturaleza de derechos</w:t>
      </w:r>
      <w:r w:rsidR="00B45A6F" w:rsidRPr="0050035B">
        <w:rPr>
          <w:rFonts w:ascii="Century Gothic" w:hAnsi="Century Gothic"/>
          <w:lang w:val="es-MX"/>
        </w:rPr>
        <w:t>”</w:t>
      </w:r>
      <w:r w:rsidR="00C75B16" w:rsidRPr="0050035B">
        <w:rPr>
          <w:rFonts w:ascii="Century Gothic" w:hAnsi="Century Gothic"/>
          <w:lang w:val="es-MX"/>
        </w:rPr>
        <w:t xml:space="preserve">. </w:t>
      </w:r>
    </w:p>
    <w:p w:rsidR="00C75B16" w:rsidRPr="0050035B" w:rsidRDefault="00C75B16" w:rsidP="00681048">
      <w:pPr>
        <w:spacing w:line="360" w:lineRule="auto"/>
        <w:jc w:val="both"/>
        <w:rPr>
          <w:rFonts w:ascii="Century Gothic" w:hAnsi="Century Gothic"/>
          <w:lang w:val="es-MX"/>
        </w:rPr>
      </w:pPr>
    </w:p>
    <w:p w:rsidR="00681048" w:rsidRPr="0050035B" w:rsidRDefault="00B45A6F" w:rsidP="0037309F">
      <w:pPr>
        <w:spacing w:line="360" w:lineRule="auto"/>
        <w:ind w:firstLine="720"/>
        <w:jc w:val="both"/>
        <w:rPr>
          <w:rFonts w:ascii="Century Gothic" w:hAnsi="Century Gothic"/>
          <w:lang w:val="es-MX"/>
        </w:rPr>
      </w:pPr>
      <w:r w:rsidRPr="0050035B">
        <w:rPr>
          <w:rFonts w:ascii="Century Gothic" w:hAnsi="Century Gothic"/>
          <w:lang w:val="es-MX"/>
        </w:rPr>
        <w:t>“</w:t>
      </w:r>
      <w:r w:rsidR="00681048" w:rsidRPr="0050035B">
        <w:rPr>
          <w:rFonts w:ascii="Century Gothic" w:hAnsi="Century Gothic"/>
          <w:lang w:val="es-MX"/>
        </w:rPr>
        <w:t>Los recargos, las sanciones, los gastos de ejecución y la indemnización a que se refiere el penúltimo párrafo del artículo 22 de este Código, que se aplican en relación con aprovechamientos, son accesorios de éstos y participan de su naturaleza</w:t>
      </w:r>
      <w:r w:rsidR="000859E5" w:rsidRPr="0050035B">
        <w:rPr>
          <w:rFonts w:ascii="Century Gothic" w:hAnsi="Century Gothic"/>
          <w:lang w:val="es-MX"/>
        </w:rPr>
        <w:t>”</w:t>
      </w:r>
      <w:r w:rsidR="00681048" w:rsidRPr="0050035B">
        <w:rPr>
          <w:rFonts w:ascii="Century Gothic" w:hAnsi="Century Gothic"/>
          <w:lang w:val="es-MX"/>
        </w:rPr>
        <w:t>.</w:t>
      </w:r>
      <w:r w:rsidR="00B75140">
        <w:rPr>
          <w:rFonts w:ascii="Century Gothic" w:hAnsi="Century Gothic"/>
          <w:lang w:val="es-MX"/>
        </w:rPr>
        <w:t xml:space="preserve"> </w:t>
      </w:r>
      <w:r w:rsidR="000859E5" w:rsidRPr="0050035B">
        <w:rPr>
          <w:rFonts w:ascii="Century Gothic" w:hAnsi="Century Gothic"/>
          <w:lang w:val="es-MX"/>
        </w:rPr>
        <w:t xml:space="preserve">Por último, son </w:t>
      </w:r>
      <w:r w:rsidR="00DF388F" w:rsidRPr="0050035B">
        <w:rPr>
          <w:rFonts w:ascii="Century Gothic" w:hAnsi="Century Gothic"/>
          <w:i/>
          <w:lang w:val="es-MX"/>
        </w:rPr>
        <w:t>P</w:t>
      </w:r>
      <w:r w:rsidR="000859E5" w:rsidRPr="0050035B">
        <w:rPr>
          <w:rFonts w:ascii="Century Gothic" w:hAnsi="Century Gothic"/>
          <w:i/>
          <w:lang w:val="es-MX"/>
        </w:rPr>
        <w:t>roductos</w:t>
      </w:r>
      <w:r w:rsidR="000859E5" w:rsidRPr="0050035B">
        <w:rPr>
          <w:rFonts w:ascii="Century Gothic" w:hAnsi="Century Gothic"/>
          <w:lang w:val="es-MX"/>
        </w:rPr>
        <w:t xml:space="preserve"> “</w:t>
      </w:r>
      <w:r w:rsidR="00681048" w:rsidRPr="0050035B">
        <w:rPr>
          <w:rFonts w:ascii="Century Gothic" w:hAnsi="Century Gothic"/>
          <w:lang w:val="es-MX"/>
        </w:rPr>
        <w:t xml:space="preserve">las contraprestaciones por los servicios que preste el </w:t>
      </w:r>
      <w:r w:rsidR="00373DAB" w:rsidRPr="0050035B">
        <w:rPr>
          <w:rFonts w:ascii="Century Gothic" w:hAnsi="Century Gothic"/>
          <w:lang w:val="es-MX"/>
        </w:rPr>
        <w:t>Estado</w:t>
      </w:r>
      <w:r w:rsidR="00681048" w:rsidRPr="0050035B">
        <w:rPr>
          <w:rFonts w:ascii="Century Gothic" w:hAnsi="Century Gothic"/>
          <w:lang w:val="es-MX"/>
        </w:rPr>
        <w:t xml:space="preserve"> en sus funciones de derecho privado, así como por el uso, aprovechamiento o enajenación de bienes del dominio privado</w:t>
      </w:r>
      <w:r w:rsidR="00C75B16" w:rsidRPr="0050035B">
        <w:rPr>
          <w:rFonts w:ascii="Century Gothic" w:hAnsi="Century Gothic"/>
          <w:lang w:val="es-MX"/>
        </w:rPr>
        <w:t>”</w:t>
      </w:r>
      <w:r w:rsidR="00681048" w:rsidRPr="0050035B">
        <w:rPr>
          <w:rFonts w:ascii="Century Gothic" w:hAnsi="Century Gothic"/>
          <w:lang w:val="es-MX"/>
        </w:rPr>
        <w:t>.</w:t>
      </w:r>
    </w:p>
    <w:p w:rsidR="00681048" w:rsidRPr="0050035B" w:rsidRDefault="00681048" w:rsidP="00681048">
      <w:pPr>
        <w:spacing w:line="360" w:lineRule="auto"/>
        <w:jc w:val="both"/>
        <w:rPr>
          <w:rFonts w:ascii="Century Gothic" w:hAnsi="Century Gothic"/>
          <w:lang w:val="es-MX"/>
        </w:rPr>
      </w:pPr>
    </w:p>
    <w:p w:rsidR="00681048" w:rsidRPr="0050035B" w:rsidRDefault="007C65C5" w:rsidP="0037309F">
      <w:pPr>
        <w:spacing w:line="360" w:lineRule="auto"/>
        <w:ind w:firstLine="720"/>
        <w:jc w:val="both"/>
        <w:rPr>
          <w:rFonts w:ascii="Century Gothic" w:hAnsi="Century Gothic"/>
          <w:lang w:val="es-MX"/>
        </w:rPr>
      </w:pPr>
      <w:r w:rsidRPr="0050035B">
        <w:rPr>
          <w:rFonts w:ascii="Century Gothic" w:hAnsi="Century Gothic"/>
          <w:lang w:val="es-MX"/>
        </w:rPr>
        <w:t>El artí</w:t>
      </w:r>
      <w:r w:rsidR="00C75B16" w:rsidRPr="0050035B">
        <w:rPr>
          <w:rFonts w:ascii="Century Gothic" w:hAnsi="Century Gothic"/>
          <w:lang w:val="es-MX"/>
        </w:rPr>
        <w:t xml:space="preserve">culo </w:t>
      </w:r>
      <w:r w:rsidR="00681048" w:rsidRPr="0050035B">
        <w:rPr>
          <w:rFonts w:ascii="Century Gothic" w:hAnsi="Century Gothic"/>
          <w:lang w:val="es-MX"/>
        </w:rPr>
        <w:t>5</w:t>
      </w:r>
      <w:r w:rsidR="00C75B16" w:rsidRPr="0050035B">
        <w:rPr>
          <w:rFonts w:ascii="Century Gothic" w:hAnsi="Century Gothic"/>
          <w:lang w:val="es-MX"/>
        </w:rPr>
        <w:t xml:space="preserve"> habla sobre las </w:t>
      </w:r>
      <w:r w:rsidR="00A10B0C" w:rsidRPr="0050035B">
        <w:rPr>
          <w:rFonts w:ascii="Century Gothic" w:hAnsi="Century Gothic"/>
          <w:i/>
          <w:lang w:val="es-MX"/>
        </w:rPr>
        <w:t>P</w:t>
      </w:r>
      <w:r w:rsidR="00681048" w:rsidRPr="0050035B">
        <w:rPr>
          <w:rFonts w:ascii="Century Gothic" w:hAnsi="Century Gothic"/>
          <w:i/>
          <w:lang w:val="es-MX"/>
        </w:rPr>
        <w:t>articipaciones</w:t>
      </w:r>
      <w:r w:rsidR="00C75B16" w:rsidRPr="0050035B">
        <w:rPr>
          <w:rFonts w:ascii="Century Gothic" w:hAnsi="Century Gothic"/>
          <w:lang w:val="es-MX"/>
        </w:rPr>
        <w:t xml:space="preserve"> que son “ingresos</w:t>
      </w:r>
      <w:r w:rsidR="00681048" w:rsidRPr="0050035B">
        <w:rPr>
          <w:rFonts w:ascii="Century Gothic" w:hAnsi="Century Gothic"/>
          <w:lang w:val="es-MX"/>
        </w:rPr>
        <w:t xml:space="preserve"> provenientes de contribuciones y aprovechamientos federales o municipales que tiene derecho a percibir el </w:t>
      </w:r>
      <w:r w:rsidR="00373DAB" w:rsidRPr="0050035B">
        <w:rPr>
          <w:rFonts w:ascii="Century Gothic" w:hAnsi="Century Gothic"/>
          <w:lang w:val="es-MX"/>
        </w:rPr>
        <w:t>Estado</w:t>
      </w:r>
      <w:r w:rsidR="00681048" w:rsidRPr="0050035B">
        <w:rPr>
          <w:rFonts w:ascii="Century Gothic" w:hAnsi="Century Gothic"/>
          <w:lang w:val="es-MX"/>
        </w:rPr>
        <w:t xml:space="preserve"> por Disposición Constitucional, por virtud de su adhesión al sistema nacional de coordinación fiscal, o por las leyes fiscales respectivas</w:t>
      </w:r>
      <w:r w:rsidR="00C75B16" w:rsidRPr="0050035B">
        <w:rPr>
          <w:rFonts w:ascii="Century Gothic" w:hAnsi="Century Gothic"/>
          <w:lang w:val="es-MX"/>
        </w:rPr>
        <w:t>”</w:t>
      </w:r>
      <w:r w:rsidR="00681048" w:rsidRPr="0050035B">
        <w:rPr>
          <w:rFonts w:ascii="Century Gothic" w:hAnsi="Century Gothic"/>
          <w:lang w:val="es-MX"/>
        </w:rPr>
        <w:t>.</w:t>
      </w:r>
    </w:p>
    <w:p w:rsidR="00C75B16" w:rsidRPr="0050035B" w:rsidRDefault="00C75B16" w:rsidP="00681048">
      <w:pPr>
        <w:spacing w:line="360" w:lineRule="auto"/>
        <w:jc w:val="both"/>
        <w:rPr>
          <w:rFonts w:ascii="Century Gothic" w:hAnsi="Century Gothic"/>
          <w:lang w:val="es-MX"/>
        </w:rPr>
      </w:pPr>
    </w:p>
    <w:p w:rsidR="00681048" w:rsidRPr="0050035B" w:rsidRDefault="00C75B16" w:rsidP="0037309F">
      <w:pPr>
        <w:spacing w:line="360" w:lineRule="auto"/>
        <w:ind w:firstLine="720"/>
        <w:jc w:val="both"/>
        <w:rPr>
          <w:rFonts w:ascii="Century Gothic" w:hAnsi="Century Gothic"/>
          <w:lang w:val="es-MX"/>
        </w:rPr>
      </w:pPr>
      <w:r w:rsidRPr="0050035B">
        <w:rPr>
          <w:rFonts w:ascii="Century Gothic" w:hAnsi="Century Gothic"/>
          <w:lang w:val="es-MX"/>
        </w:rPr>
        <w:lastRenderedPageBreak/>
        <w:t xml:space="preserve">En esta misma tesitura, el Código Fiscal </w:t>
      </w:r>
      <w:r w:rsidR="007A68B8" w:rsidRPr="0050035B">
        <w:rPr>
          <w:rFonts w:ascii="Century Gothic" w:hAnsi="Century Gothic"/>
          <w:lang w:val="es-MX"/>
        </w:rPr>
        <w:t>del Estado de Nuevo León</w:t>
      </w:r>
      <w:r w:rsidR="0037309F" w:rsidRPr="0050035B">
        <w:rPr>
          <w:rFonts w:ascii="Century Gothic" w:hAnsi="Century Gothic"/>
          <w:lang w:val="es-MX"/>
        </w:rPr>
        <w:t xml:space="preserve"> </w:t>
      </w:r>
      <w:r w:rsidRPr="0050035B">
        <w:rPr>
          <w:rFonts w:ascii="Century Gothic" w:hAnsi="Century Gothic"/>
          <w:lang w:val="es-MX"/>
        </w:rPr>
        <w:t>en su artículo</w:t>
      </w:r>
      <w:r w:rsidR="00681048" w:rsidRPr="0050035B">
        <w:rPr>
          <w:rFonts w:ascii="Century Gothic" w:hAnsi="Century Gothic"/>
          <w:lang w:val="es-MX"/>
        </w:rPr>
        <w:t xml:space="preserve"> 6</w:t>
      </w:r>
      <w:r w:rsidRPr="0050035B">
        <w:rPr>
          <w:rFonts w:ascii="Century Gothic" w:hAnsi="Century Gothic"/>
          <w:lang w:val="es-MX"/>
        </w:rPr>
        <w:t xml:space="preserve"> establece que “S</w:t>
      </w:r>
      <w:r w:rsidR="00681048" w:rsidRPr="0050035B">
        <w:rPr>
          <w:rFonts w:ascii="Century Gothic" w:hAnsi="Century Gothic"/>
          <w:lang w:val="es-MX"/>
        </w:rPr>
        <w:t xml:space="preserve">on créditos fiscales los que tenga derecho a percibir el </w:t>
      </w:r>
      <w:r w:rsidR="00373DAB" w:rsidRPr="0050035B">
        <w:rPr>
          <w:rFonts w:ascii="Century Gothic" w:hAnsi="Century Gothic"/>
          <w:lang w:val="es-MX"/>
        </w:rPr>
        <w:t>Estado</w:t>
      </w:r>
      <w:r w:rsidR="00681048" w:rsidRPr="0050035B">
        <w:rPr>
          <w:rFonts w:ascii="Century Gothic" w:hAnsi="Century Gothic"/>
          <w:lang w:val="es-MX"/>
        </w:rPr>
        <w:t xml:space="preserve"> o sus organismos descentralizados que provengan de contribuciones, de aprovechamientos o de sus accesorios, incluyendo los que deriven de responsabilidades que el </w:t>
      </w:r>
      <w:r w:rsidR="00373DAB" w:rsidRPr="0050035B">
        <w:rPr>
          <w:rFonts w:ascii="Century Gothic" w:hAnsi="Century Gothic"/>
          <w:lang w:val="es-MX"/>
        </w:rPr>
        <w:t>Estado</w:t>
      </w:r>
      <w:r w:rsidR="00681048" w:rsidRPr="0050035B">
        <w:rPr>
          <w:rFonts w:ascii="Century Gothic" w:hAnsi="Century Gothic"/>
          <w:lang w:val="es-MX"/>
        </w:rPr>
        <w:t xml:space="preserve"> tenga derecho a exigir de sus funcionarios o empleados o de los particulares, así como aquéllos a los que las leyes les den ese carácter y el </w:t>
      </w:r>
      <w:r w:rsidR="00373DAB" w:rsidRPr="0050035B">
        <w:rPr>
          <w:rFonts w:ascii="Century Gothic" w:hAnsi="Century Gothic"/>
          <w:lang w:val="es-MX"/>
        </w:rPr>
        <w:t>Estado</w:t>
      </w:r>
      <w:r w:rsidR="00681048" w:rsidRPr="0050035B">
        <w:rPr>
          <w:rFonts w:ascii="Century Gothic" w:hAnsi="Century Gothic"/>
          <w:lang w:val="es-MX"/>
        </w:rPr>
        <w:t xml:space="preserve"> tenga derecho a percibir por cuenta ajena</w:t>
      </w:r>
      <w:r w:rsidR="004C473B" w:rsidRPr="0050035B">
        <w:rPr>
          <w:rFonts w:ascii="Century Gothic" w:hAnsi="Century Gothic"/>
          <w:lang w:val="es-MX"/>
        </w:rPr>
        <w:t>”</w:t>
      </w:r>
      <w:r w:rsidR="00681048" w:rsidRPr="0050035B">
        <w:rPr>
          <w:rFonts w:ascii="Century Gothic" w:hAnsi="Century Gothic"/>
          <w:lang w:val="es-MX"/>
        </w:rPr>
        <w:t>.</w:t>
      </w:r>
    </w:p>
    <w:p w:rsidR="00681048" w:rsidRPr="0050035B" w:rsidRDefault="00681048" w:rsidP="00681048">
      <w:pPr>
        <w:spacing w:line="360" w:lineRule="auto"/>
        <w:jc w:val="both"/>
        <w:rPr>
          <w:rFonts w:ascii="Century Gothic" w:hAnsi="Century Gothic"/>
          <w:lang w:val="es-MX"/>
        </w:rPr>
      </w:pPr>
    </w:p>
    <w:p w:rsidR="00643208" w:rsidRDefault="004C473B" w:rsidP="0037309F">
      <w:pPr>
        <w:spacing w:line="360" w:lineRule="auto"/>
        <w:ind w:firstLine="720"/>
        <w:jc w:val="both"/>
        <w:rPr>
          <w:rFonts w:ascii="Century Gothic" w:hAnsi="Century Gothic"/>
          <w:lang w:val="es-MX"/>
        </w:rPr>
      </w:pPr>
      <w:r w:rsidRPr="0050035B">
        <w:rPr>
          <w:rFonts w:ascii="Century Gothic" w:hAnsi="Century Gothic"/>
          <w:lang w:val="es-MX"/>
        </w:rPr>
        <w:t>“</w:t>
      </w:r>
      <w:r w:rsidR="00681048" w:rsidRPr="0050035B">
        <w:rPr>
          <w:rFonts w:ascii="Century Gothic" w:hAnsi="Century Gothic"/>
          <w:lang w:val="es-MX"/>
        </w:rPr>
        <w:t xml:space="preserve">La recaudación proveniente de todos los ingresos del </w:t>
      </w:r>
      <w:r w:rsidR="00373DAB" w:rsidRPr="0050035B">
        <w:rPr>
          <w:rFonts w:ascii="Century Gothic" w:hAnsi="Century Gothic"/>
          <w:lang w:val="es-MX"/>
        </w:rPr>
        <w:t>Estado</w:t>
      </w:r>
      <w:r w:rsidR="00681048" w:rsidRPr="0050035B">
        <w:rPr>
          <w:rFonts w:ascii="Century Gothic" w:hAnsi="Century Gothic"/>
          <w:lang w:val="es-MX"/>
        </w:rPr>
        <w:t xml:space="preserve">, </w:t>
      </w:r>
      <w:r w:rsidR="005B6BB5" w:rsidRPr="0050035B">
        <w:rPr>
          <w:rFonts w:ascii="Century Gothic" w:hAnsi="Century Gothic"/>
          <w:lang w:val="es-MX"/>
        </w:rPr>
        <w:t>aun</w:t>
      </w:r>
      <w:r w:rsidR="00681048" w:rsidRPr="0050035B">
        <w:rPr>
          <w:rFonts w:ascii="Century Gothic" w:hAnsi="Century Gothic"/>
          <w:lang w:val="es-MX"/>
        </w:rPr>
        <w:t xml:space="preserve"> cuando se destinen a un fin específico, se hará a través de la Secretaría de Finanzas y Tesorería General del </w:t>
      </w:r>
      <w:r w:rsidR="00373DAB" w:rsidRPr="0050035B">
        <w:rPr>
          <w:rFonts w:ascii="Century Gothic" w:hAnsi="Century Gothic"/>
          <w:lang w:val="es-MX"/>
        </w:rPr>
        <w:t>Estado</w:t>
      </w:r>
      <w:r w:rsidR="00681048" w:rsidRPr="0050035B">
        <w:rPr>
          <w:rFonts w:ascii="Century Gothic" w:hAnsi="Century Gothic"/>
          <w:lang w:val="es-MX"/>
        </w:rPr>
        <w:t xml:space="preserve">, la cual podrá ser auxiliada por otras dependencias oficiales o por </w:t>
      </w:r>
      <w:r w:rsidR="008B52D3" w:rsidRPr="0050035B">
        <w:rPr>
          <w:rFonts w:ascii="Century Gothic" w:hAnsi="Century Gothic"/>
          <w:lang w:val="es-MX"/>
        </w:rPr>
        <w:t>organismos públicos</w:t>
      </w:r>
      <w:r w:rsidR="00681048" w:rsidRPr="0050035B">
        <w:rPr>
          <w:rFonts w:ascii="Century Gothic" w:hAnsi="Century Gothic"/>
          <w:lang w:val="es-MX"/>
        </w:rPr>
        <w:t xml:space="preserve"> o privados, por disposición de la ley o por autorización de dicha Secretaría</w:t>
      </w:r>
      <w:r w:rsidR="008851EF" w:rsidRPr="0050035B">
        <w:rPr>
          <w:rFonts w:ascii="Century Gothic" w:hAnsi="Century Gothic"/>
          <w:lang w:val="es-MX"/>
        </w:rPr>
        <w:t>”</w:t>
      </w:r>
      <w:r w:rsidR="00681048" w:rsidRPr="0050035B">
        <w:rPr>
          <w:rFonts w:ascii="Century Gothic" w:hAnsi="Century Gothic"/>
          <w:lang w:val="es-MX"/>
        </w:rPr>
        <w:t>.</w:t>
      </w:r>
    </w:p>
    <w:p w:rsidR="00C17543" w:rsidRPr="0050035B" w:rsidRDefault="00C17543" w:rsidP="0037309F">
      <w:pPr>
        <w:spacing w:line="360" w:lineRule="auto"/>
        <w:ind w:firstLine="720"/>
        <w:jc w:val="both"/>
        <w:rPr>
          <w:rFonts w:ascii="Century Gothic" w:hAnsi="Century Gothic"/>
          <w:lang w:val="es-MX"/>
        </w:rPr>
      </w:pPr>
    </w:p>
    <w:p w:rsidR="004A5C23" w:rsidRPr="0050035B" w:rsidRDefault="004A5C23" w:rsidP="004A5C23">
      <w:pPr>
        <w:spacing w:line="360" w:lineRule="auto"/>
        <w:jc w:val="both"/>
        <w:rPr>
          <w:rFonts w:ascii="Century Gothic" w:hAnsi="Century Gothic"/>
          <w:lang w:val="es-MX"/>
        </w:rPr>
      </w:pPr>
      <w:r w:rsidRPr="0050035B">
        <w:rPr>
          <w:rFonts w:ascii="Century Gothic" w:hAnsi="Century Gothic"/>
          <w:b/>
          <w:lang w:val="es-MX"/>
        </w:rPr>
        <w:t>1.2.1</w:t>
      </w:r>
      <w:r w:rsidR="006D6CB7" w:rsidRPr="0050035B">
        <w:rPr>
          <w:rFonts w:ascii="Century Gothic" w:hAnsi="Century Gothic"/>
          <w:b/>
          <w:lang w:val="es-MX"/>
        </w:rPr>
        <w:t>1</w:t>
      </w:r>
      <w:r w:rsidRPr="0050035B">
        <w:rPr>
          <w:rFonts w:ascii="Century Gothic" w:hAnsi="Century Gothic"/>
          <w:b/>
          <w:lang w:val="es-MX"/>
        </w:rPr>
        <w:t>. Ley de Coordinación Hacendaria del Estado de Nuevo León</w:t>
      </w:r>
    </w:p>
    <w:p w:rsidR="004A5C23" w:rsidRPr="0050035B" w:rsidRDefault="004A5C23" w:rsidP="004A5C23">
      <w:pPr>
        <w:spacing w:line="360" w:lineRule="auto"/>
        <w:jc w:val="both"/>
        <w:rPr>
          <w:rFonts w:ascii="Century Gothic" w:hAnsi="Century Gothic"/>
          <w:lang w:val="es-MX"/>
        </w:rPr>
      </w:pPr>
      <w:r w:rsidRPr="0050035B">
        <w:rPr>
          <w:rFonts w:ascii="Century Gothic" w:hAnsi="Century Gothic"/>
          <w:lang w:val="es-MX"/>
        </w:rPr>
        <w:t xml:space="preserve">El artículo 12 </w:t>
      </w:r>
      <w:r w:rsidR="007C14DC" w:rsidRPr="0050035B">
        <w:rPr>
          <w:rFonts w:ascii="Century Gothic" w:hAnsi="Century Gothic"/>
          <w:lang w:val="es-MX"/>
        </w:rPr>
        <w:t xml:space="preserve">de esta ley </w:t>
      </w:r>
      <w:r w:rsidRPr="0050035B">
        <w:rPr>
          <w:rFonts w:ascii="Century Gothic" w:hAnsi="Century Gothic"/>
          <w:lang w:val="es-MX"/>
        </w:rPr>
        <w:t xml:space="preserve">dispone que “El Estado y los Municipios podrán celebrar convenios de coordinación en materia de recaudación y administración de participaciones federales y estatales y aportaciones </w:t>
      </w:r>
      <w:r w:rsidR="000D167E">
        <w:rPr>
          <w:rFonts w:ascii="Century Gothic" w:hAnsi="Century Gothic"/>
          <w:lang w:val="es-MX"/>
        </w:rPr>
        <w:t>federales</w:t>
      </w:r>
      <w:r w:rsidRPr="0050035B">
        <w:rPr>
          <w:rFonts w:ascii="Century Gothic" w:hAnsi="Century Gothic"/>
          <w:lang w:val="es-MX"/>
        </w:rPr>
        <w:t xml:space="preserve"> y estatales que correspondan a estos últimos, siempre y cuando no contravenga lo establecido en la Ley de </w:t>
      </w:r>
      <w:r w:rsidR="000D167E">
        <w:rPr>
          <w:rFonts w:ascii="Century Gothic" w:hAnsi="Century Gothic"/>
          <w:lang w:val="es-MX"/>
        </w:rPr>
        <w:t>C</w:t>
      </w:r>
      <w:r w:rsidRPr="0050035B">
        <w:rPr>
          <w:rFonts w:ascii="Century Gothic" w:hAnsi="Century Gothic"/>
          <w:lang w:val="es-MX"/>
        </w:rPr>
        <w:t>oordinación Fiscal. En los convenios a que se refiere este artículo se establecerán los ingresos de que se trate, facultades, derechos y obligaciones que les correspondan…”.</w:t>
      </w:r>
    </w:p>
    <w:p w:rsidR="004A5C23" w:rsidRPr="0050035B" w:rsidRDefault="004A5C23" w:rsidP="004A5C23">
      <w:pPr>
        <w:spacing w:line="360" w:lineRule="auto"/>
        <w:jc w:val="both"/>
        <w:rPr>
          <w:rFonts w:ascii="Century Gothic" w:hAnsi="Century Gothic"/>
          <w:lang w:val="es-MX"/>
        </w:rPr>
      </w:pPr>
    </w:p>
    <w:p w:rsidR="004A5C23" w:rsidRPr="0050035B" w:rsidRDefault="004A5C23" w:rsidP="004A5C23">
      <w:pPr>
        <w:spacing w:line="360" w:lineRule="auto"/>
        <w:ind w:firstLine="720"/>
        <w:jc w:val="both"/>
        <w:rPr>
          <w:rFonts w:ascii="Century Gothic" w:hAnsi="Century Gothic"/>
          <w:lang w:val="es-MX"/>
        </w:rPr>
      </w:pPr>
      <w:r w:rsidRPr="0050035B">
        <w:rPr>
          <w:rFonts w:ascii="Century Gothic" w:hAnsi="Century Gothic"/>
          <w:lang w:val="es-MX"/>
        </w:rPr>
        <w:t xml:space="preserve">Por su parte, el artículo 14 hace mención de las </w:t>
      </w:r>
      <w:r w:rsidR="009112F0" w:rsidRPr="0050035B">
        <w:rPr>
          <w:rFonts w:ascii="Century Gothic" w:hAnsi="Century Gothic"/>
          <w:lang w:val="es-MX"/>
        </w:rPr>
        <w:t>participaciones</w:t>
      </w:r>
      <w:r w:rsidRPr="0050035B">
        <w:rPr>
          <w:rFonts w:ascii="Century Gothic" w:hAnsi="Century Gothic"/>
          <w:lang w:val="es-MX"/>
        </w:rPr>
        <w:t xml:space="preserve"> federales que corresponderán a los municipios de conformidad con la L</w:t>
      </w:r>
      <w:r w:rsidR="007C65C5" w:rsidRPr="0050035B">
        <w:rPr>
          <w:rFonts w:ascii="Century Gothic" w:hAnsi="Century Gothic"/>
          <w:lang w:val="es-MX"/>
        </w:rPr>
        <w:t xml:space="preserve">ey de </w:t>
      </w:r>
      <w:r w:rsidRPr="0050035B">
        <w:rPr>
          <w:rFonts w:ascii="Century Gothic" w:hAnsi="Century Gothic"/>
          <w:lang w:val="es-MX"/>
        </w:rPr>
        <w:t>C</w:t>
      </w:r>
      <w:r w:rsidR="007C65C5" w:rsidRPr="0050035B">
        <w:rPr>
          <w:rFonts w:ascii="Century Gothic" w:hAnsi="Century Gothic"/>
          <w:lang w:val="es-MX"/>
        </w:rPr>
        <w:t xml:space="preserve">oordinación </w:t>
      </w:r>
      <w:r w:rsidRPr="0050035B">
        <w:rPr>
          <w:rFonts w:ascii="Century Gothic" w:hAnsi="Century Gothic"/>
          <w:lang w:val="es-MX"/>
        </w:rPr>
        <w:t>F</w:t>
      </w:r>
      <w:r w:rsidR="007C65C5" w:rsidRPr="0050035B">
        <w:rPr>
          <w:rFonts w:ascii="Century Gothic" w:hAnsi="Century Gothic"/>
          <w:lang w:val="es-MX"/>
        </w:rPr>
        <w:t>iscal</w:t>
      </w:r>
      <w:r w:rsidRPr="0050035B">
        <w:rPr>
          <w:rFonts w:ascii="Century Gothic" w:hAnsi="Century Gothic"/>
          <w:lang w:val="es-MX"/>
        </w:rPr>
        <w:t>, que son:</w:t>
      </w:r>
      <w:r w:rsidR="007A68B8" w:rsidRPr="0050035B">
        <w:rPr>
          <w:rFonts w:ascii="Century Gothic" w:hAnsi="Century Gothic"/>
          <w:lang w:val="es-MX"/>
        </w:rPr>
        <w:t xml:space="preserve"> “</w:t>
      </w:r>
      <w:r w:rsidR="00A16EFA" w:rsidRPr="0050035B">
        <w:rPr>
          <w:rFonts w:ascii="Century Gothic" w:hAnsi="Century Gothic"/>
          <w:lang w:val="es-MX"/>
        </w:rPr>
        <w:t xml:space="preserve">A. El 20% de los siguientes conceptos: </w:t>
      </w:r>
      <w:r w:rsidR="007A68B8" w:rsidRPr="0050035B">
        <w:rPr>
          <w:rFonts w:ascii="Century Gothic" w:hAnsi="Century Gothic"/>
          <w:lang w:val="es-MX"/>
        </w:rPr>
        <w:t>1. P</w:t>
      </w:r>
      <w:r w:rsidRPr="0050035B">
        <w:rPr>
          <w:rFonts w:ascii="Century Gothic" w:hAnsi="Century Gothic"/>
          <w:lang w:val="es-MX"/>
        </w:rPr>
        <w:t xml:space="preserve">articipaciones Federales del Fondo General de Participaciones. 2. </w:t>
      </w:r>
      <w:r w:rsidRPr="0050035B">
        <w:rPr>
          <w:rFonts w:ascii="Century Gothic" w:hAnsi="Century Gothic"/>
          <w:lang w:val="es-MX"/>
        </w:rPr>
        <w:lastRenderedPageBreak/>
        <w:t xml:space="preserve">Participaciones del Fondo de Fiscalización y Recaudación. 3. Impuesto sobre Automóviles Nuevos. 4. Fondo de Compensación del Impuesto Sobre Automóviles Nuevos (ISAN) 5.- Impuesto Especial sobre Producción y Servicios. 6. Fondo de Extracción de Hidrocarburos. B. El 100% </w:t>
      </w:r>
      <w:r w:rsidR="007C14DC" w:rsidRPr="0050035B">
        <w:rPr>
          <w:rFonts w:ascii="Century Gothic" w:hAnsi="Century Gothic"/>
          <w:lang w:val="es-MX"/>
        </w:rPr>
        <w:t>del Fondo de Fomento Municipal”.</w:t>
      </w:r>
    </w:p>
    <w:p w:rsidR="004A5C23" w:rsidRPr="0050035B" w:rsidRDefault="004A5C23" w:rsidP="004A5C23">
      <w:pPr>
        <w:spacing w:line="360" w:lineRule="auto"/>
        <w:jc w:val="both"/>
        <w:rPr>
          <w:rFonts w:ascii="Century Gothic" w:hAnsi="Century Gothic"/>
          <w:lang w:val="es-MX"/>
        </w:rPr>
      </w:pPr>
    </w:p>
    <w:p w:rsidR="004A5C23" w:rsidRPr="0050035B" w:rsidRDefault="004A5C23" w:rsidP="00EC7624">
      <w:pPr>
        <w:spacing w:line="360" w:lineRule="auto"/>
        <w:ind w:firstLine="720"/>
        <w:jc w:val="both"/>
        <w:rPr>
          <w:rFonts w:ascii="Century Gothic" w:hAnsi="Century Gothic"/>
          <w:lang w:val="es-MX"/>
        </w:rPr>
      </w:pPr>
      <w:r w:rsidRPr="0050035B">
        <w:rPr>
          <w:rFonts w:ascii="Century Gothic" w:hAnsi="Century Gothic"/>
          <w:lang w:val="es-MX"/>
        </w:rPr>
        <w:t>Esta ley establece</w:t>
      </w:r>
      <w:r w:rsidR="0074210A" w:rsidRPr="0050035B">
        <w:rPr>
          <w:rFonts w:ascii="Century Gothic" w:hAnsi="Century Gothic"/>
          <w:lang w:val="es-MX"/>
        </w:rPr>
        <w:t xml:space="preserve"> en su artículo 16</w:t>
      </w:r>
      <w:r w:rsidRPr="0050035B">
        <w:rPr>
          <w:rFonts w:ascii="Century Gothic" w:hAnsi="Century Gothic"/>
          <w:lang w:val="es-MX"/>
        </w:rPr>
        <w:t xml:space="preserve"> </w:t>
      </w:r>
      <w:r w:rsidR="00EC7624" w:rsidRPr="0050035B">
        <w:rPr>
          <w:rFonts w:ascii="Century Gothic" w:hAnsi="Century Gothic"/>
          <w:lang w:val="es-MX"/>
        </w:rPr>
        <w:t>que “</w:t>
      </w:r>
      <w:r w:rsidRPr="0050035B">
        <w:rPr>
          <w:rFonts w:ascii="Century Gothic" w:hAnsi="Century Gothic"/>
          <w:lang w:val="es-MX"/>
        </w:rPr>
        <w:t xml:space="preserve">la </w:t>
      </w:r>
      <w:r w:rsidR="00990ADC" w:rsidRPr="00990ADC">
        <w:rPr>
          <w:rFonts w:ascii="Century Gothic" w:hAnsi="Century Gothic"/>
          <w:lang w:val="es-MX"/>
        </w:rPr>
        <w:t>participación municipal del Impuesto Sobre Nómina será del 6.28% de la cantidad que efectivamente recaude el Estado por este concepto y se distribuirá entre los Municipio</w:t>
      </w:r>
      <w:r w:rsidRPr="0050035B">
        <w:rPr>
          <w:rFonts w:ascii="Century Gothic" w:hAnsi="Century Gothic"/>
          <w:lang w:val="es-MX"/>
        </w:rPr>
        <w:t>s…” dicha distribución será conforme a la fórmula que el propio artículo señala.</w:t>
      </w:r>
    </w:p>
    <w:p w:rsidR="004A5C23" w:rsidRPr="0050035B" w:rsidRDefault="004A5C23" w:rsidP="004A5C23">
      <w:pPr>
        <w:spacing w:line="360" w:lineRule="auto"/>
        <w:ind w:firstLine="720"/>
        <w:jc w:val="both"/>
        <w:rPr>
          <w:rFonts w:ascii="Century Gothic" w:hAnsi="Century Gothic"/>
          <w:lang w:val="es-MX"/>
        </w:rPr>
      </w:pPr>
    </w:p>
    <w:p w:rsidR="004A5C23" w:rsidRPr="0050035B" w:rsidRDefault="004A5C23" w:rsidP="004A5C23">
      <w:pPr>
        <w:spacing w:line="360" w:lineRule="auto"/>
        <w:ind w:firstLine="720"/>
        <w:jc w:val="both"/>
        <w:rPr>
          <w:rFonts w:ascii="Century Gothic" w:hAnsi="Century Gothic"/>
          <w:lang w:val="es-MX"/>
        </w:rPr>
      </w:pPr>
      <w:r w:rsidRPr="0050035B">
        <w:rPr>
          <w:rFonts w:ascii="Century Gothic" w:hAnsi="Century Gothic"/>
          <w:lang w:val="es-MX"/>
        </w:rPr>
        <w:t>Esta ley estipula en su artículo 17 que “El Ejecutivo del Estado participará a los Municipios de un 0.6 cuotas por concepto de los Derechos de Control Vehicular por cada vehículo que realice el pago según su domicilio registrado. Dicha participación se realizará mensualmente a los Municipios durante los primeros quince días poste</w:t>
      </w:r>
      <w:r w:rsidR="007C14DC" w:rsidRPr="0050035B">
        <w:rPr>
          <w:rFonts w:ascii="Century Gothic" w:hAnsi="Century Gothic"/>
          <w:lang w:val="es-MX"/>
        </w:rPr>
        <w:t>riores al mes en que se recaude</w:t>
      </w:r>
      <w:r w:rsidRPr="0050035B">
        <w:rPr>
          <w:rFonts w:ascii="Century Gothic" w:hAnsi="Century Gothic"/>
          <w:lang w:val="es-MX"/>
        </w:rPr>
        <w:t>”</w:t>
      </w:r>
      <w:r w:rsidR="007C14DC" w:rsidRPr="0050035B">
        <w:rPr>
          <w:rFonts w:ascii="Century Gothic" w:hAnsi="Century Gothic"/>
          <w:lang w:val="es-MX"/>
        </w:rPr>
        <w:t>.</w:t>
      </w:r>
    </w:p>
    <w:p w:rsidR="004A5C23" w:rsidRPr="0050035B" w:rsidRDefault="004A5C23" w:rsidP="004A5C23">
      <w:pPr>
        <w:spacing w:line="360" w:lineRule="auto"/>
        <w:ind w:firstLine="720"/>
        <w:jc w:val="both"/>
        <w:rPr>
          <w:rFonts w:ascii="Century Gothic" w:hAnsi="Century Gothic"/>
          <w:lang w:val="es-MX"/>
        </w:rPr>
      </w:pPr>
    </w:p>
    <w:p w:rsidR="004A5C23" w:rsidRPr="0050035B" w:rsidRDefault="004A5C23" w:rsidP="004A5C23">
      <w:pPr>
        <w:spacing w:line="360" w:lineRule="auto"/>
        <w:ind w:firstLine="720"/>
        <w:jc w:val="both"/>
        <w:rPr>
          <w:rFonts w:ascii="Century Gothic" w:hAnsi="Century Gothic"/>
          <w:lang w:val="es-MX"/>
        </w:rPr>
      </w:pPr>
      <w:r w:rsidRPr="0050035B">
        <w:rPr>
          <w:rFonts w:ascii="Century Gothic" w:hAnsi="Century Gothic"/>
          <w:lang w:val="es-MX"/>
        </w:rPr>
        <w:t>Respecto al total de participaciones federales y estatales a que se hace referencia en los artículos 14 y 16</w:t>
      </w:r>
      <w:r w:rsidR="00B45A6F" w:rsidRPr="0050035B">
        <w:rPr>
          <w:rFonts w:ascii="Century Gothic" w:hAnsi="Century Gothic"/>
          <w:lang w:val="es-MX"/>
        </w:rPr>
        <w:t>,</w:t>
      </w:r>
      <w:r w:rsidRPr="0050035B">
        <w:rPr>
          <w:rFonts w:ascii="Century Gothic" w:hAnsi="Century Gothic"/>
          <w:lang w:val="es-MX"/>
        </w:rPr>
        <w:t xml:space="preserve"> el artículo 19 de la ley</w:t>
      </w:r>
      <w:r w:rsidR="007C14DC" w:rsidRPr="0050035B">
        <w:rPr>
          <w:rFonts w:ascii="Century Gothic" w:hAnsi="Century Gothic"/>
          <w:lang w:val="es-MX"/>
        </w:rPr>
        <w:t xml:space="preserve"> señala que</w:t>
      </w:r>
      <w:r w:rsidRPr="0050035B">
        <w:rPr>
          <w:rFonts w:ascii="Century Gothic" w:hAnsi="Century Gothic"/>
          <w:lang w:val="es-MX"/>
        </w:rPr>
        <w:t xml:space="preserve"> los municipios recibirán</w:t>
      </w:r>
      <w:r w:rsidR="007C65C5" w:rsidRPr="0050035B">
        <w:rPr>
          <w:rFonts w:ascii="Century Gothic" w:hAnsi="Century Gothic"/>
          <w:lang w:val="es-MX"/>
        </w:rPr>
        <w:t xml:space="preserve"> “…</w:t>
      </w:r>
      <w:r w:rsidRPr="0050035B">
        <w:rPr>
          <w:rFonts w:ascii="Century Gothic" w:hAnsi="Century Gothic"/>
          <w:lang w:val="es-MX"/>
        </w:rPr>
        <w:t>por lo menos la misma suma percibida en términos reales durante el ejercicio fiscal del año previo</w:t>
      </w:r>
      <w:r w:rsidR="007C14DC" w:rsidRPr="0050035B">
        <w:rPr>
          <w:rFonts w:ascii="Century Gothic" w:hAnsi="Century Gothic"/>
          <w:lang w:val="es-MX"/>
        </w:rPr>
        <w:t>…</w:t>
      </w:r>
      <w:r w:rsidRPr="0050035B">
        <w:rPr>
          <w:rFonts w:ascii="Century Gothic" w:hAnsi="Century Gothic"/>
          <w:lang w:val="es-MX"/>
        </w:rPr>
        <w:t>” conforme a la fórmula que el propio artículo 19 establece.</w:t>
      </w:r>
    </w:p>
    <w:p w:rsidR="000A72DF" w:rsidRPr="0050035B" w:rsidRDefault="000A72DF" w:rsidP="004A5C23">
      <w:pPr>
        <w:spacing w:line="360" w:lineRule="auto"/>
        <w:ind w:firstLine="720"/>
        <w:jc w:val="both"/>
        <w:rPr>
          <w:rFonts w:ascii="Century Gothic" w:hAnsi="Century Gothic"/>
          <w:lang w:val="es-MX"/>
        </w:rPr>
      </w:pPr>
    </w:p>
    <w:p w:rsidR="007C65C5" w:rsidRPr="0050035B" w:rsidRDefault="000A72DF" w:rsidP="000A72DF">
      <w:pPr>
        <w:spacing w:line="360" w:lineRule="auto"/>
        <w:ind w:firstLine="720"/>
        <w:jc w:val="both"/>
        <w:rPr>
          <w:rFonts w:ascii="Century Gothic" w:hAnsi="Century Gothic"/>
          <w:lang w:val="es-MX"/>
        </w:rPr>
      </w:pPr>
      <w:r w:rsidRPr="0050035B">
        <w:rPr>
          <w:rFonts w:ascii="Century Gothic" w:hAnsi="Century Gothic"/>
          <w:lang w:val="es-MX"/>
        </w:rPr>
        <w:t xml:space="preserve">En este mismo sentido, el artículo 20 estipula que “Con las fórmulas y los procedimientos previstos en los artículos 14 y 16 de esta Ley, durante los primeros quince días del mes de enero se calculará un coeficiente para </w:t>
      </w:r>
      <w:r w:rsidRPr="0050035B">
        <w:rPr>
          <w:rFonts w:ascii="Century Gothic" w:hAnsi="Century Gothic"/>
          <w:lang w:val="es-MX"/>
        </w:rPr>
        <w:lastRenderedPageBreak/>
        <w:t>cada Municipio, dividiendo sus participaciones estimadas entre el total de participaciones estimadas para el año, y dicho coeficiente se utilizará para aplicar mensualmente el monto distribuible de las participaciones que efectivamente se reciban. El cálculo se repetirá durante los primeros diez días de julio…”.</w:t>
      </w:r>
    </w:p>
    <w:p w:rsidR="007C65C5" w:rsidRPr="0050035B" w:rsidRDefault="007C65C5" w:rsidP="000A72DF">
      <w:pPr>
        <w:spacing w:line="360" w:lineRule="auto"/>
        <w:ind w:firstLine="720"/>
        <w:jc w:val="both"/>
        <w:rPr>
          <w:rFonts w:ascii="Century Gothic" w:hAnsi="Century Gothic"/>
          <w:lang w:val="es-MX"/>
        </w:rPr>
      </w:pPr>
    </w:p>
    <w:p w:rsidR="000A72DF" w:rsidRDefault="000A72DF" w:rsidP="000A72DF">
      <w:pPr>
        <w:spacing w:line="360" w:lineRule="auto"/>
        <w:ind w:firstLine="720"/>
        <w:jc w:val="both"/>
        <w:rPr>
          <w:rFonts w:ascii="Century Gothic" w:hAnsi="Century Gothic"/>
          <w:lang w:val="es-MX"/>
        </w:rPr>
      </w:pPr>
      <w:r w:rsidRPr="0050035B">
        <w:rPr>
          <w:rFonts w:ascii="Century Gothic" w:hAnsi="Century Gothic"/>
          <w:lang w:val="es-MX"/>
        </w:rPr>
        <w:t xml:space="preserve"> Este mismo artículo en su párrafo cuarto y con el fin de evitar efectos negativos en las finanzas municipales establece que “los ajustes que resulten del cálculo a desarrollar en el mes de julio se podrán realizar en forma gradual por un periodo de seis meses, y el ajuste que resulte de los cálculos realizados durante el mes de enero serán aplicados en los tres meses siguientes en forma igualitaria”.</w:t>
      </w:r>
    </w:p>
    <w:p w:rsidR="00FD580B" w:rsidRPr="0050035B" w:rsidRDefault="00FD580B" w:rsidP="000A72DF">
      <w:pPr>
        <w:spacing w:line="360" w:lineRule="auto"/>
        <w:ind w:firstLine="720"/>
        <w:jc w:val="both"/>
        <w:rPr>
          <w:rFonts w:ascii="Century Gothic" w:hAnsi="Century Gothic"/>
          <w:lang w:val="es-MX"/>
        </w:rPr>
      </w:pPr>
    </w:p>
    <w:p w:rsidR="004A5C23" w:rsidRPr="0050035B" w:rsidRDefault="004A5C23" w:rsidP="007C14DC">
      <w:pPr>
        <w:spacing w:line="360" w:lineRule="auto"/>
        <w:ind w:firstLine="720"/>
        <w:jc w:val="both"/>
        <w:rPr>
          <w:rFonts w:ascii="Century Gothic" w:hAnsi="Century Gothic"/>
          <w:lang w:val="es-MX"/>
        </w:rPr>
      </w:pPr>
      <w:r w:rsidRPr="0050035B">
        <w:rPr>
          <w:rFonts w:ascii="Century Gothic" w:hAnsi="Century Gothic"/>
          <w:lang w:val="es-MX"/>
        </w:rPr>
        <w:t>El artículo 22 expone que “Las Participaciones que conforme a esta Ley correspondan a los Municipios son inembargables y no estarán sujetas a retención o deducción alguna, ni podrán afectarse a fines específicos, salvo para el pago de obligaciones contraídas en los términos de lo dispuesto en el Artículo 9º d</w:t>
      </w:r>
      <w:r w:rsidR="007C14DC" w:rsidRPr="0050035B">
        <w:rPr>
          <w:rFonts w:ascii="Century Gothic" w:hAnsi="Century Gothic"/>
          <w:lang w:val="es-MX"/>
        </w:rPr>
        <w:t>e la Ley de Coordinación Fiscal</w:t>
      </w:r>
      <w:r w:rsidRPr="0050035B">
        <w:rPr>
          <w:rFonts w:ascii="Century Gothic" w:hAnsi="Century Gothic"/>
          <w:lang w:val="es-MX"/>
        </w:rPr>
        <w:t>”</w:t>
      </w:r>
      <w:r w:rsidR="007C14DC" w:rsidRPr="0050035B">
        <w:rPr>
          <w:rFonts w:ascii="Century Gothic" w:hAnsi="Century Gothic"/>
          <w:lang w:val="es-MX"/>
        </w:rPr>
        <w:t>.</w:t>
      </w:r>
      <w:r w:rsidR="00FD580B">
        <w:rPr>
          <w:rFonts w:ascii="Century Gothic" w:hAnsi="Century Gothic"/>
          <w:lang w:val="es-MX"/>
        </w:rPr>
        <w:t xml:space="preserve"> </w:t>
      </w:r>
      <w:r w:rsidRPr="0050035B">
        <w:rPr>
          <w:rFonts w:ascii="Century Gothic" w:hAnsi="Century Gothic"/>
          <w:lang w:val="es-MX"/>
        </w:rPr>
        <w:t>Respecto a</w:t>
      </w:r>
      <w:r w:rsidR="0074210A" w:rsidRPr="0050035B">
        <w:rPr>
          <w:rFonts w:ascii="Century Gothic" w:hAnsi="Century Gothic"/>
          <w:lang w:val="es-MX"/>
        </w:rPr>
        <w:t xml:space="preserve"> las aportaciones estatales la L</w:t>
      </w:r>
      <w:r w:rsidRPr="0050035B">
        <w:rPr>
          <w:rFonts w:ascii="Century Gothic" w:hAnsi="Century Gothic"/>
          <w:lang w:val="es-MX"/>
        </w:rPr>
        <w:t>ey menciona en su artículo 26 que “Las aportaciones estatales se componen de los recursos fiscales que el Ejecutivo a través de la Secretaría ministre a los Municipios con cargo a su Hacienda Pública”.</w:t>
      </w:r>
    </w:p>
    <w:p w:rsidR="004A5C23" w:rsidRPr="0050035B" w:rsidRDefault="004A5C23" w:rsidP="004A5C23">
      <w:pPr>
        <w:spacing w:line="360" w:lineRule="auto"/>
        <w:ind w:firstLine="720"/>
        <w:jc w:val="both"/>
        <w:rPr>
          <w:rFonts w:ascii="Century Gothic" w:hAnsi="Century Gothic"/>
          <w:lang w:val="es-MX"/>
        </w:rPr>
      </w:pPr>
    </w:p>
    <w:p w:rsidR="004A5C23" w:rsidRPr="0050035B" w:rsidRDefault="004A5C23" w:rsidP="004A5C23">
      <w:pPr>
        <w:spacing w:line="360" w:lineRule="auto"/>
        <w:ind w:firstLine="720"/>
        <w:jc w:val="both"/>
        <w:rPr>
          <w:rFonts w:ascii="Century Gothic" w:hAnsi="Century Gothic"/>
          <w:lang w:val="es-MX"/>
        </w:rPr>
      </w:pPr>
      <w:r w:rsidRPr="0050035B">
        <w:rPr>
          <w:rFonts w:ascii="Century Gothic" w:hAnsi="Century Gothic"/>
          <w:lang w:val="es-MX"/>
        </w:rPr>
        <w:t xml:space="preserve">En este mismo sentido el artículo 27 dispone que “Se crea el Fondo de Desarrollo Municipal, cuyos recursos se aplicarán a proyectos de obra pública prioritarios a ser ejecutados por los Municipios y su distribución en dichos proyectos dependerá de la prioridad que establezcan los respectivos Ayuntamientos. El monto total del Fondo de Desarrollo Municipal ascenderá </w:t>
      </w:r>
      <w:r w:rsidRPr="0050035B">
        <w:rPr>
          <w:rFonts w:ascii="Century Gothic" w:hAnsi="Century Gothic"/>
          <w:lang w:val="es-MX"/>
        </w:rPr>
        <w:lastRenderedPageBreak/>
        <w:t>al 1.53% del monto de participaciones que efectivamente recaude el Estado en el ejercicio fiscal correspondiente…”</w:t>
      </w:r>
      <w:r w:rsidR="007C14DC" w:rsidRPr="0050035B">
        <w:rPr>
          <w:rFonts w:ascii="Century Gothic" w:hAnsi="Century Gothic"/>
          <w:lang w:val="es-MX"/>
        </w:rPr>
        <w:t>.</w:t>
      </w:r>
    </w:p>
    <w:p w:rsidR="004A5C23" w:rsidRPr="0050035B" w:rsidRDefault="004A5C23" w:rsidP="004A5C23">
      <w:pPr>
        <w:spacing w:line="360" w:lineRule="auto"/>
        <w:ind w:firstLine="720"/>
        <w:jc w:val="both"/>
        <w:rPr>
          <w:rFonts w:ascii="Century Gothic" w:hAnsi="Century Gothic"/>
          <w:lang w:val="es-MX"/>
        </w:rPr>
      </w:pPr>
    </w:p>
    <w:p w:rsidR="004A5C23" w:rsidRPr="0050035B" w:rsidRDefault="007C14DC" w:rsidP="004A5C23">
      <w:pPr>
        <w:spacing w:line="360" w:lineRule="auto"/>
        <w:ind w:firstLine="720"/>
        <w:jc w:val="both"/>
        <w:rPr>
          <w:rFonts w:ascii="Century Gothic" w:hAnsi="Century Gothic"/>
          <w:lang w:val="es-MX"/>
        </w:rPr>
      </w:pPr>
      <w:r w:rsidRPr="0050035B">
        <w:rPr>
          <w:rFonts w:ascii="Century Gothic" w:hAnsi="Century Gothic"/>
          <w:lang w:val="es-MX"/>
        </w:rPr>
        <w:t>Por otro lado,</w:t>
      </w:r>
      <w:r w:rsidR="004A5C23" w:rsidRPr="0050035B">
        <w:rPr>
          <w:rFonts w:ascii="Century Gothic" w:hAnsi="Century Gothic"/>
          <w:lang w:val="es-MX"/>
        </w:rPr>
        <w:t xml:space="preserve"> según el artículo 31 “El Gobierno del Estado constituirá el Fondo denominado Fondos Descentralizados. Esta aportación tendrá como destino la prestación de los servicios públicos de limpia, alumbrado, seguridad pública y proyectos de infraestructura básica.</w:t>
      </w:r>
      <w:r w:rsidR="001C4C0F" w:rsidRPr="0050035B">
        <w:rPr>
          <w:rFonts w:ascii="Century Gothic" w:hAnsi="Century Gothic"/>
          <w:lang w:val="es-MX"/>
        </w:rPr>
        <w:t xml:space="preserve"> </w:t>
      </w:r>
      <w:r w:rsidR="004A5C23" w:rsidRPr="0050035B">
        <w:rPr>
          <w:rFonts w:ascii="Century Gothic" w:hAnsi="Century Gothic"/>
          <w:lang w:val="es-MX"/>
        </w:rPr>
        <w:t>El Fondo se constituirá con un monto que no podrá ser menor a la cantidad que resulte mayor entre el 1.28% del monto de participaciones que efectivamente reciba el Estado en el ejercicio fiscal correspondiente y el monto autorizado en la Ley de Egresos del ejercicio correspondiente para este fondo…”</w:t>
      </w:r>
      <w:r w:rsidRPr="0050035B">
        <w:rPr>
          <w:rFonts w:ascii="Century Gothic" w:hAnsi="Century Gothic"/>
          <w:lang w:val="es-MX"/>
        </w:rPr>
        <w:t>.</w:t>
      </w:r>
    </w:p>
    <w:p w:rsidR="004A5C23" w:rsidRPr="0050035B" w:rsidRDefault="004A5C23" w:rsidP="004A5C23">
      <w:pPr>
        <w:spacing w:line="360" w:lineRule="auto"/>
        <w:jc w:val="both"/>
        <w:rPr>
          <w:rFonts w:ascii="Century Gothic" w:hAnsi="Century Gothic"/>
          <w:lang w:val="es-MX"/>
        </w:rPr>
      </w:pPr>
    </w:p>
    <w:p w:rsidR="007C65C5" w:rsidRPr="0050035B" w:rsidRDefault="004A5C23" w:rsidP="004A5C23">
      <w:pPr>
        <w:spacing w:line="360" w:lineRule="auto"/>
        <w:ind w:firstLine="720"/>
        <w:jc w:val="both"/>
        <w:rPr>
          <w:rFonts w:ascii="Century Gothic" w:hAnsi="Century Gothic"/>
          <w:lang w:val="es-MX"/>
        </w:rPr>
      </w:pPr>
      <w:r w:rsidRPr="0050035B">
        <w:rPr>
          <w:rFonts w:ascii="Century Gothic" w:hAnsi="Century Gothic"/>
          <w:lang w:val="es-MX"/>
        </w:rPr>
        <w:t>Finalmente, el artículo 31 Bis establece que “El Gobierno del Estado consti</w:t>
      </w:r>
      <w:r w:rsidR="00B45A6F" w:rsidRPr="0050035B">
        <w:rPr>
          <w:rFonts w:ascii="Century Gothic" w:hAnsi="Century Gothic"/>
          <w:lang w:val="es-MX"/>
        </w:rPr>
        <w:t>tuirá el Fondo denominado Fondo</w:t>
      </w:r>
      <w:r w:rsidRPr="0050035B">
        <w:rPr>
          <w:rFonts w:ascii="Century Gothic" w:hAnsi="Century Gothic"/>
          <w:lang w:val="es-MX"/>
        </w:rPr>
        <w:t xml:space="preserve"> de Seguridad para los </w:t>
      </w:r>
      <w:r w:rsidR="000D167E" w:rsidRPr="0050035B">
        <w:rPr>
          <w:rFonts w:ascii="Century Gothic" w:hAnsi="Century Gothic"/>
          <w:lang w:val="es-MX"/>
        </w:rPr>
        <w:t>Municipios</w:t>
      </w:r>
      <w:r w:rsidR="000D167E">
        <w:rPr>
          <w:rFonts w:ascii="Century Gothic" w:hAnsi="Century Gothic"/>
          <w:lang w:val="es-MX"/>
        </w:rPr>
        <w:t xml:space="preserve">, </w:t>
      </w:r>
      <w:r w:rsidR="000D167E" w:rsidRPr="0050035B">
        <w:rPr>
          <w:rFonts w:ascii="Century Gothic" w:hAnsi="Century Gothic"/>
          <w:lang w:val="es-MX"/>
        </w:rPr>
        <w:t>esta</w:t>
      </w:r>
      <w:r w:rsidRPr="0050035B">
        <w:rPr>
          <w:rFonts w:ascii="Century Gothic" w:hAnsi="Century Gothic"/>
          <w:lang w:val="es-MX"/>
        </w:rPr>
        <w:t xml:space="preserve"> aportación tendrá como destino la prestación de seguridad pública de los municipios y podrá ser destinado a capacitación, equipamiento, prevención del delito, inversión y cualquier otro tipo de gasto en seguridad</w:t>
      </w:r>
      <w:r w:rsidR="00B45A6F" w:rsidRPr="0050035B">
        <w:rPr>
          <w:rFonts w:ascii="Century Gothic" w:hAnsi="Century Gothic"/>
          <w:lang w:val="es-MX"/>
        </w:rPr>
        <w:t>”</w:t>
      </w:r>
      <w:r w:rsidRPr="0050035B">
        <w:rPr>
          <w:rFonts w:ascii="Century Gothic" w:hAnsi="Century Gothic"/>
          <w:lang w:val="es-MX"/>
        </w:rPr>
        <w:t xml:space="preserve">. </w:t>
      </w:r>
    </w:p>
    <w:p w:rsidR="00E060C6" w:rsidRPr="0050035B" w:rsidRDefault="00E060C6" w:rsidP="004A5C23">
      <w:pPr>
        <w:spacing w:line="360" w:lineRule="auto"/>
        <w:ind w:firstLine="720"/>
        <w:jc w:val="both"/>
        <w:rPr>
          <w:rFonts w:ascii="Century Gothic" w:hAnsi="Century Gothic"/>
          <w:lang w:val="es-MX"/>
        </w:rPr>
      </w:pPr>
    </w:p>
    <w:p w:rsidR="004A5C23" w:rsidRPr="0050035B" w:rsidRDefault="00B45A6F" w:rsidP="004A5C23">
      <w:pPr>
        <w:spacing w:line="360" w:lineRule="auto"/>
        <w:ind w:firstLine="720"/>
        <w:jc w:val="both"/>
        <w:rPr>
          <w:rFonts w:ascii="Century Gothic" w:hAnsi="Century Gothic"/>
          <w:lang w:val="es-MX"/>
        </w:rPr>
      </w:pPr>
      <w:r w:rsidRPr="0050035B">
        <w:rPr>
          <w:rFonts w:ascii="Century Gothic" w:hAnsi="Century Gothic"/>
          <w:lang w:val="es-MX"/>
        </w:rPr>
        <w:t>“</w:t>
      </w:r>
      <w:r w:rsidR="004A5C23" w:rsidRPr="0050035B">
        <w:rPr>
          <w:rFonts w:ascii="Century Gothic" w:hAnsi="Century Gothic"/>
          <w:lang w:val="es-MX"/>
        </w:rPr>
        <w:t>El fondo se constituirá con dos fuentes de ingresos y el monto a repartir no podrá ser menor a la cantidad que resulte mayor entre la suma del 1.84% del monto de participaciones que efectivamente reciba el estado en el ejercicio fiscal correspondiente y el 35% de lo recaudado por concepto del impuesto a las erogaciones de juegos con apuestas, y el monto autorizado en la ley de egresos del ejercicio correspondiente para este fondo…”</w:t>
      </w:r>
      <w:r w:rsidR="007C14DC" w:rsidRPr="0050035B">
        <w:rPr>
          <w:rFonts w:ascii="Century Gothic" w:hAnsi="Century Gothic"/>
          <w:lang w:val="es-MX"/>
        </w:rPr>
        <w:t>.</w:t>
      </w:r>
    </w:p>
    <w:p w:rsidR="004A5C23" w:rsidRDefault="004A5C23" w:rsidP="004A5C23">
      <w:pPr>
        <w:spacing w:line="360" w:lineRule="auto"/>
        <w:jc w:val="both"/>
        <w:rPr>
          <w:rFonts w:ascii="Century Gothic" w:hAnsi="Century Gothic"/>
          <w:b/>
          <w:lang w:val="es-MX"/>
        </w:rPr>
      </w:pPr>
    </w:p>
    <w:p w:rsidR="00C17543" w:rsidRDefault="00C17543" w:rsidP="004A5C23">
      <w:pPr>
        <w:spacing w:line="360" w:lineRule="auto"/>
        <w:jc w:val="both"/>
        <w:rPr>
          <w:rFonts w:ascii="Century Gothic" w:hAnsi="Century Gothic"/>
          <w:b/>
          <w:lang w:val="es-MX"/>
        </w:rPr>
      </w:pPr>
    </w:p>
    <w:p w:rsidR="00C17543" w:rsidRPr="0050035B" w:rsidRDefault="00C17543" w:rsidP="004A5C23">
      <w:pPr>
        <w:spacing w:line="360" w:lineRule="auto"/>
        <w:jc w:val="both"/>
        <w:rPr>
          <w:rFonts w:ascii="Century Gothic" w:hAnsi="Century Gothic"/>
          <w:b/>
          <w:lang w:val="es-MX"/>
        </w:rPr>
      </w:pPr>
    </w:p>
    <w:p w:rsidR="008851EF" w:rsidRPr="0050035B" w:rsidRDefault="00CF13F6" w:rsidP="008D7D24">
      <w:pPr>
        <w:spacing w:line="360" w:lineRule="auto"/>
        <w:jc w:val="both"/>
        <w:rPr>
          <w:rFonts w:ascii="Century Gothic" w:hAnsi="Century Gothic"/>
          <w:b/>
          <w:lang w:val="es-MX"/>
        </w:rPr>
      </w:pPr>
      <w:r w:rsidRPr="0050035B">
        <w:rPr>
          <w:rFonts w:ascii="Century Gothic" w:hAnsi="Century Gothic"/>
          <w:b/>
          <w:lang w:val="es-MX"/>
        </w:rPr>
        <w:lastRenderedPageBreak/>
        <w:t>1.</w:t>
      </w:r>
      <w:r w:rsidR="00C960F0" w:rsidRPr="0050035B">
        <w:rPr>
          <w:rFonts w:ascii="Century Gothic" w:hAnsi="Century Gothic"/>
          <w:b/>
          <w:lang w:val="es-MX"/>
        </w:rPr>
        <w:t>2.1</w:t>
      </w:r>
      <w:r w:rsidR="006D6CB7" w:rsidRPr="0050035B">
        <w:rPr>
          <w:rFonts w:ascii="Century Gothic" w:hAnsi="Century Gothic"/>
          <w:b/>
          <w:lang w:val="es-MX"/>
        </w:rPr>
        <w:t>2</w:t>
      </w:r>
      <w:r w:rsidR="008D7D24" w:rsidRPr="0050035B">
        <w:rPr>
          <w:rFonts w:ascii="Century Gothic" w:hAnsi="Century Gothic"/>
          <w:b/>
          <w:lang w:val="es-MX"/>
        </w:rPr>
        <w:t xml:space="preserve">. Reglamento de la Administración Pública </w:t>
      </w:r>
      <w:r w:rsidR="00822563">
        <w:rPr>
          <w:rFonts w:ascii="Century Gothic" w:hAnsi="Century Gothic"/>
          <w:b/>
          <w:lang w:val="es-MX"/>
        </w:rPr>
        <w:t>Municipal</w:t>
      </w:r>
      <w:r w:rsidR="008D7D24" w:rsidRPr="0050035B">
        <w:rPr>
          <w:rFonts w:ascii="Century Gothic" w:hAnsi="Century Gothic"/>
          <w:b/>
          <w:lang w:val="es-MX"/>
        </w:rPr>
        <w:t xml:space="preserve"> de </w:t>
      </w:r>
      <w:r w:rsidR="00373DAB" w:rsidRPr="0050035B">
        <w:rPr>
          <w:rFonts w:ascii="Century Gothic" w:hAnsi="Century Gothic"/>
          <w:b/>
          <w:lang w:val="es-MX"/>
        </w:rPr>
        <w:t>Monterrey</w:t>
      </w:r>
    </w:p>
    <w:p w:rsidR="0037309F" w:rsidRPr="0050035B" w:rsidRDefault="009D48A6" w:rsidP="00E837F5">
      <w:pPr>
        <w:spacing w:line="360" w:lineRule="auto"/>
        <w:jc w:val="both"/>
        <w:rPr>
          <w:rFonts w:ascii="Century Gothic" w:hAnsi="Century Gothic"/>
          <w:lang w:val="es-MX"/>
        </w:rPr>
      </w:pPr>
      <w:r w:rsidRPr="0050035B">
        <w:rPr>
          <w:rFonts w:ascii="Century Gothic" w:hAnsi="Century Gothic"/>
          <w:lang w:val="es-MX"/>
        </w:rPr>
        <w:t>Este cuerpo normativo establece las</w:t>
      </w:r>
      <w:r w:rsidR="0037309F" w:rsidRPr="0050035B">
        <w:rPr>
          <w:rFonts w:ascii="Century Gothic" w:hAnsi="Century Gothic"/>
          <w:lang w:val="es-MX"/>
        </w:rPr>
        <w:t xml:space="preserve"> </w:t>
      </w:r>
      <w:r w:rsidRPr="0050035B">
        <w:rPr>
          <w:rFonts w:ascii="Century Gothic" w:hAnsi="Century Gothic"/>
          <w:lang w:val="es-MX"/>
        </w:rPr>
        <w:t>atribuciones de las diversas</w:t>
      </w:r>
      <w:r w:rsidR="0037309F" w:rsidRPr="0050035B">
        <w:rPr>
          <w:rFonts w:ascii="Century Gothic" w:hAnsi="Century Gothic"/>
          <w:lang w:val="es-MX"/>
        </w:rPr>
        <w:t xml:space="preserve"> </w:t>
      </w:r>
      <w:r w:rsidRPr="0050035B">
        <w:rPr>
          <w:rFonts w:ascii="Century Gothic" w:hAnsi="Century Gothic"/>
          <w:lang w:val="es-MX"/>
        </w:rPr>
        <w:t xml:space="preserve">Secretarías y </w:t>
      </w:r>
      <w:r w:rsidR="00F41F05" w:rsidRPr="0050035B">
        <w:rPr>
          <w:rFonts w:ascii="Century Gothic" w:hAnsi="Century Gothic"/>
          <w:lang w:val="es-MX"/>
        </w:rPr>
        <w:t>D</w:t>
      </w:r>
      <w:r w:rsidR="0037309F" w:rsidRPr="0050035B">
        <w:rPr>
          <w:rFonts w:ascii="Century Gothic" w:hAnsi="Century Gothic"/>
          <w:lang w:val="es-MX"/>
        </w:rPr>
        <w:t>irecciones</w:t>
      </w:r>
      <w:r w:rsidR="0074210A" w:rsidRPr="0050035B">
        <w:rPr>
          <w:rFonts w:ascii="Century Gothic" w:hAnsi="Century Gothic"/>
          <w:lang w:val="es-MX"/>
        </w:rPr>
        <w:t xml:space="preserve"> que integran la A</w:t>
      </w:r>
      <w:r w:rsidRPr="0050035B">
        <w:rPr>
          <w:rFonts w:ascii="Century Gothic" w:hAnsi="Century Gothic"/>
          <w:lang w:val="es-MX"/>
        </w:rPr>
        <w:t xml:space="preserve">dministración </w:t>
      </w:r>
      <w:r w:rsidR="0074210A" w:rsidRPr="0050035B">
        <w:rPr>
          <w:rFonts w:ascii="Century Gothic" w:hAnsi="Century Gothic"/>
          <w:lang w:val="es-MX"/>
        </w:rPr>
        <w:t>P</w:t>
      </w:r>
      <w:r w:rsidR="0037309F" w:rsidRPr="0050035B">
        <w:rPr>
          <w:rFonts w:ascii="Century Gothic" w:hAnsi="Century Gothic"/>
          <w:lang w:val="es-MX"/>
        </w:rPr>
        <w:t>ública</w:t>
      </w:r>
      <w:r w:rsidR="0074210A" w:rsidRPr="0050035B">
        <w:rPr>
          <w:rFonts w:ascii="Century Gothic" w:hAnsi="Century Gothic"/>
          <w:lang w:val="es-MX"/>
        </w:rPr>
        <w:t xml:space="preserve"> M</w:t>
      </w:r>
      <w:r w:rsidRPr="0050035B">
        <w:rPr>
          <w:rFonts w:ascii="Century Gothic" w:hAnsi="Century Gothic"/>
          <w:lang w:val="es-MX"/>
        </w:rPr>
        <w:t>unicipal dentro de las que d</w:t>
      </w:r>
      <w:r w:rsidR="00D748AE" w:rsidRPr="0050035B">
        <w:rPr>
          <w:rFonts w:ascii="Century Gothic" w:hAnsi="Century Gothic"/>
          <w:lang w:val="es-MX"/>
        </w:rPr>
        <w:t>estacan</w:t>
      </w:r>
      <w:r w:rsidR="00E837F5" w:rsidRPr="0050035B">
        <w:rPr>
          <w:rFonts w:ascii="Century Gothic" w:hAnsi="Century Gothic"/>
          <w:lang w:val="es-MX"/>
        </w:rPr>
        <w:t xml:space="preserve"> </w:t>
      </w:r>
      <w:r w:rsidR="00D748AE" w:rsidRPr="0050035B">
        <w:rPr>
          <w:rFonts w:ascii="Century Gothic" w:hAnsi="Century Gothic"/>
          <w:lang w:val="es-MX"/>
        </w:rPr>
        <w:t xml:space="preserve">en lo relativo a la Dirección de Ingresos de la </w:t>
      </w:r>
      <w:r w:rsidR="0037309F" w:rsidRPr="0050035B">
        <w:rPr>
          <w:rFonts w:ascii="Century Gothic" w:hAnsi="Century Gothic"/>
          <w:lang w:val="es-MX"/>
        </w:rPr>
        <w:t>Tesorería</w:t>
      </w:r>
      <w:r w:rsidR="00D748AE" w:rsidRPr="0050035B">
        <w:rPr>
          <w:rFonts w:ascii="Century Gothic" w:hAnsi="Century Gothic"/>
          <w:lang w:val="es-MX"/>
        </w:rPr>
        <w:t xml:space="preserve"> Munic</w:t>
      </w:r>
      <w:r w:rsidR="00E837F5" w:rsidRPr="0050035B">
        <w:rPr>
          <w:rFonts w:ascii="Century Gothic" w:hAnsi="Century Gothic"/>
          <w:lang w:val="es-MX"/>
        </w:rPr>
        <w:t xml:space="preserve">ipal, de acuerdo a lo establecido por el artículo 32 </w:t>
      </w:r>
      <w:r w:rsidR="0037309F" w:rsidRPr="0050035B">
        <w:rPr>
          <w:rFonts w:ascii="Century Gothic" w:hAnsi="Century Gothic"/>
          <w:lang w:val="es-MX"/>
        </w:rPr>
        <w:t>cuenta con facultades para</w:t>
      </w:r>
      <w:r w:rsidR="00D748AE" w:rsidRPr="0050035B">
        <w:rPr>
          <w:rFonts w:ascii="Century Gothic" w:hAnsi="Century Gothic"/>
          <w:lang w:val="es-MX"/>
        </w:rPr>
        <w:t xml:space="preserve">: “I. Recaudar, concentrar, custodiar y vigilar los ingresos y valores provenientes de la aplicación de la Ley de Hacienda para los </w:t>
      </w:r>
      <w:r w:rsidR="00373DAB" w:rsidRPr="0050035B">
        <w:rPr>
          <w:rFonts w:ascii="Century Gothic" w:hAnsi="Century Gothic"/>
          <w:lang w:val="es-MX"/>
        </w:rPr>
        <w:t>Municipio</w:t>
      </w:r>
      <w:r w:rsidR="00D748AE" w:rsidRPr="0050035B">
        <w:rPr>
          <w:rFonts w:ascii="Century Gothic" w:hAnsi="Century Gothic"/>
          <w:lang w:val="es-MX"/>
        </w:rPr>
        <w:t xml:space="preserve">s del </w:t>
      </w:r>
      <w:r w:rsidR="00373DAB" w:rsidRPr="0050035B">
        <w:rPr>
          <w:rFonts w:ascii="Century Gothic" w:hAnsi="Century Gothic"/>
          <w:lang w:val="es-MX"/>
        </w:rPr>
        <w:t>Estado</w:t>
      </w:r>
      <w:r w:rsidR="00D748AE" w:rsidRPr="0050035B">
        <w:rPr>
          <w:rFonts w:ascii="Century Gothic" w:hAnsi="Century Gothic"/>
          <w:lang w:val="es-MX"/>
        </w:rPr>
        <w:t xml:space="preserve"> de Nuevo León, y otros conceptos que deba percibir el </w:t>
      </w:r>
      <w:r w:rsidR="00373DAB" w:rsidRPr="0050035B">
        <w:rPr>
          <w:rFonts w:ascii="Century Gothic" w:hAnsi="Century Gothic"/>
          <w:lang w:val="es-MX"/>
        </w:rPr>
        <w:t>Municipio</w:t>
      </w:r>
      <w:r w:rsidR="0074210A" w:rsidRPr="0050035B">
        <w:rPr>
          <w:rFonts w:ascii="Century Gothic" w:hAnsi="Century Gothic"/>
          <w:lang w:val="es-MX"/>
        </w:rPr>
        <w:t>…</w:t>
      </w:r>
      <w:r w:rsidR="00E837F5" w:rsidRPr="0050035B">
        <w:rPr>
          <w:rFonts w:ascii="Century Gothic" w:hAnsi="Century Gothic"/>
          <w:lang w:val="es-MX"/>
        </w:rPr>
        <w:t xml:space="preserve">; </w:t>
      </w:r>
      <w:r w:rsidR="00D748AE" w:rsidRPr="0050035B">
        <w:rPr>
          <w:rFonts w:ascii="Century Gothic" w:hAnsi="Century Gothic"/>
          <w:lang w:val="es-MX"/>
        </w:rPr>
        <w:t>II. Diseñar y proponer al Tesorero Municipal la política de ingresos y evaluación de sus resultados, en congruencia con las políticas de Hacienda Pública Municipal</w:t>
      </w:r>
      <w:r w:rsidR="00E837F5" w:rsidRPr="0050035B">
        <w:rPr>
          <w:rFonts w:ascii="Century Gothic" w:hAnsi="Century Gothic"/>
          <w:lang w:val="es-MX"/>
        </w:rPr>
        <w:t xml:space="preserve">, económica y social del Municipio, </w:t>
      </w:r>
      <w:r w:rsidR="0037309F" w:rsidRPr="0050035B">
        <w:rPr>
          <w:rFonts w:ascii="Century Gothic" w:hAnsi="Century Gothic"/>
          <w:lang w:val="es-MX"/>
        </w:rPr>
        <w:t>en</w:t>
      </w:r>
      <w:r w:rsidR="00D748AE" w:rsidRPr="0050035B">
        <w:rPr>
          <w:rFonts w:ascii="Century Gothic" w:hAnsi="Century Gothic"/>
          <w:lang w:val="es-MX"/>
        </w:rPr>
        <w:t xml:space="preserve"> coordinación con otras unidades administrativas de la Tesorería y de otras dependencias y entidades de la Administración Pública Municipal Ce</w:t>
      </w:r>
      <w:r w:rsidR="00E837F5" w:rsidRPr="0050035B">
        <w:rPr>
          <w:rFonts w:ascii="Century Gothic" w:hAnsi="Century Gothic"/>
          <w:lang w:val="es-MX"/>
        </w:rPr>
        <w:t>ntralizada y Descentralizada…</w:t>
      </w:r>
      <w:r w:rsidR="00952F13" w:rsidRPr="0050035B">
        <w:rPr>
          <w:rFonts w:ascii="Century Gothic" w:hAnsi="Century Gothic"/>
          <w:lang w:val="es-MX"/>
        </w:rPr>
        <w:t xml:space="preserve">”. </w:t>
      </w:r>
      <w:r w:rsidR="0037309F" w:rsidRPr="0050035B">
        <w:rPr>
          <w:rFonts w:ascii="Century Gothic" w:hAnsi="Century Gothic"/>
          <w:lang w:val="es-MX"/>
        </w:rPr>
        <w:t>Así mismo, faculta en su artículo 35 a la Dirección de Recaudación Inmobiliaria de la Tesorería Municipal, para: “I. Recaudar los ingresos municipales conforme a los presupuestos aprobados y con sujeción a las d</w:t>
      </w:r>
      <w:r w:rsidR="00E837F5" w:rsidRPr="0050035B">
        <w:rPr>
          <w:rFonts w:ascii="Century Gothic" w:hAnsi="Century Gothic"/>
          <w:lang w:val="es-MX"/>
        </w:rPr>
        <w:t>isposiciones legales aplicables…</w:t>
      </w:r>
      <w:r w:rsidR="0037309F" w:rsidRPr="0050035B">
        <w:rPr>
          <w:rFonts w:ascii="Century Gothic" w:hAnsi="Century Gothic"/>
          <w:lang w:val="es-MX"/>
        </w:rPr>
        <w:t>”.</w:t>
      </w:r>
    </w:p>
    <w:p w:rsidR="00842BAC" w:rsidRPr="0050035B" w:rsidRDefault="00842BAC" w:rsidP="00E837F5">
      <w:pPr>
        <w:spacing w:line="360" w:lineRule="auto"/>
        <w:jc w:val="both"/>
        <w:rPr>
          <w:rFonts w:ascii="Century Gothic" w:hAnsi="Century Gothic"/>
          <w:lang w:val="es-MX"/>
        </w:rPr>
      </w:pPr>
    </w:p>
    <w:p w:rsidR="008D7D24" w:rsidRPr="0050035B" w:rsidRDefault="0037309F" w:rsidP="00822563">
      <w:pPr>
        <w:spacing w:line="360" w:lineRule="auto"/>
        <w:ind w:firstLine="720"/>
        <w:jc w:val="both"/>
        <w:rPr>
          <w:rFonts w:ascii="Century Gothic" w:hAnsi="Century Gothic"/>
          <w:lang w:val="es-MX"/>
        </w:rPr>
      </w:pPr>
      <w:r w:rsidRPr="0050035B">
        <w:rPr>
          <w:rFonts w:ascii="Century Gothic" w:hAnsi="Century Gothic"/>
          <w:lang w:val="es-MX"/>
        </w:rPr>
        <w:t xml:space="preserve"> E</w:t>
      </w:r>
      <w:r w:rsidR="00D748AE" w:rsidRPr="0050035B">
        <w:rPr>
          <w:rFonts w:ascii="Century Gothic" w:hAnsi="Century Gothic"/>
          <w:lang w:val="es-MX"/>
        </w:rPr>
        <w:t xml:space="preserve">n materia presupuestal el </w:t>
      </w:r>
      <w:r w:rsidRPr="0050035B">
        <w:rPr>
          <w:rFonts w:ascii="Century Gothic" w:hAnsi="Century Gothic"/>
          <w:lang w:val="es-MX"/>
        </w:rPr>
        <w:t>artículo</w:t>
      </w:r>
      <w:r w:rsidR="00D748AE" w:rsidRPr="0050035B">
        <w:rPr>
          <w:rFonts w:ascii="Century Gothic" w:hAnsi="Century Gothic"/>
          <w:lang w:val="es-MX"/>
        </w:rPr>
        <w:t xml:space="preserve"> 37 que estipula las facultades de la Dirección de Planeación </w:t>
      </w:r>
      <w:r w:rsidRPr="0050035B">
        <w:rPr>
          <w:rFonts w:ascii="Century Gothic" w:hAnsi="Century Gothic"/>
          <w:lang w:val="es-MX"/>
        </w:rPr>
        <w:t>Presupuestal</w:t>
      </w:r>
      <w:r w:rsidR="00D748AE" w:rsidRPr="0050035B">
        <w:rPr>
          <w:rFonts w:ascii="Century Gothic" w:hAnsi="Century Gothic"/>
          <w:lang w:val="es-MX"/>
        </w:rPr>
        <w:t xml:space="preserve"> de la Tesorería Municipal, </w:t>
      </w:r>
      <w:r w:rsidRPr="0050035B">
        <w:rPr>
          <w:rFonts w:ascii="Century Gothic" w:hAnsi="Century Gothic"/>
          <w:lang w:val="es-MX"/>
        </w:rPr>
        <w:t>dentro de</w:t>
      </w:r>
      <w:r w:rsidR="00D748AE" w:rsidRPr="0050035B">
        <w:rPr>
          <w:rFonts w:ascii="Century Gothic" w:hAnsi="Century Gothic"/>
          <w:lang w:val="es-MX"/>
        </w:rPr>
        <w:t xml:space="preserve"> las que se encuentran:</w:t>
      </w:r>
      <w:r w:rsidR="005D5AA6" w:rsidRPr="0050035B">
        <w:rPr>
          <w:rFonts w:ascii="Century Gothic" w:hAnsi="Century Gothic"/>
          <w:lang w:val="es-MX"/>
        </w:rPr>
        <w:t xml:space="preserve"> </w:t>
      </w:r>
      <w:r w:rsidRPr="0050035B">
        <w:rPr>
          <w:rFonts w:ascii="Century Gothic" w:hAnsi="Century Gothic"/>
          <w:lang w:val="es-MX"/>
        </w:rPr>
        <w:t>“</w:t>
      </w:r>
      <w:r w:rsidR="0073185F" w:rsidRPr="0050035B">
        <w:rPr>
          <w:rFonts w:ascii="Century Gothic" w:hAnsi="Century Gothic"/>
          <w:lang w:val="es-MX"/>
        </w:rPr>
        <w:t>I.</w:t>
      </w:r>
      <w:r w:rsidR="007C14DC" w:rsidRPr="0050035B">
        <w:rPr>
          <w:rFonts w:ascii="Century Gothic" w:hAnsi="Century Gothic"/>
          <w:lang w:val="es-MX"/>
        </w:rPr>
        <w:t xml:space="preserve"> </w:t>
      </w:r>
      <w:r w:rsidR="0073185F" w:rsidRPr="0050035B">
        <w:rPr>
          <w:rFonts w:ascii="Century Gothic" w:hAnsi="Century Gothic"/>
          <w:lang w:val="es-MX"/>
        </w:rPr>
        <w:t xml:space="preserve">Proponer y auxiliar al Tesorero Municipal en el manejo de la Política </w:t>
      </w:r>
      <w:r w:rsidR="00D748AE" w:rsidRPr="0050035B">
        <w:rPr>
          <w:rFonts w:ascii="Century Gothic" w:hAnsi="Century Gothic"/>
          <w:lang w:val="es-MX"/>
        </w:rPr>
        <w:t xml:space="preserve">Presupuestal y Financiera del </w:t>
      </w:r>
      <w:r w:rsidR="00373DAB" w:rsidRPr="0050035B">
        <w:rPr>
          <w:rFonts w:ascii="Century Gothic" w:hAnsi="Century Gothic"/>
          <w:lang w:val="es-MX"/>
        </w:rPr>
        <w:t>Municipio</w:t>
      </w:r>
      <w:r w:rsidR="00D748AE" w:rsidRPr="0050035B">
        <w:rPr>
          <w:rFonts w:ascii="Century Gothic" w:hAnsi="Century Gothic"/>
          <w:lang w:val="es-MX"/>
        </w:rPr>
        <w:t>;</w:t>
      </w:r>
      <w:r w:rsidR="00D748AE" w:rsidRPr="0050035B">
        <w:rPr>
          <w:lang w:val="es-MX"/>
        </w:rPr>
        <w:t xml:space="preserve"> </w:t>
      </w:r>
      <w:r w:rsidR="00D748AE" w:rsidRPr="0050035B">
        <w:rPr>
          <w:rFonts w:ascii="Century Gothic" w:hAnsi="Century Gothic"/>
          <w:lang w:val="es-MX"/>
        </w:rPr>
        <w:t xml:space="preserve">II. Compilar la información relacionada con los ingresos del </w:t>
      </w:r>
      <w:r w:rsidR="00373DAB" w:rsidRPr="0050035B">
        <w:rPr>
          <w:rFonts w:ascii="Century Gothic" w:hAnsi="Century Gothic"/>
          <w:lang w:val="es-MX"/>
        </w:rPr>
        <w:t>Municipio</w:t>
      </w:r>
      <w:r w:rsidR="00D748AE" w:rsidRPr="0050035B">
        <w:rPr>
          <w:rFonts w:ascii="Century Gothic" w:hAnsi="Century Gothic"/>
          <w:lang w:val="es-MX"/>
        </w:rPr>
        <w:t>, así como con los Egresos de las dependencias de la Administración Pública Municipal; III. Integrar y formular los proyectos de Presupuesto de Ingresos y Presupuesto de Egresos conforme a las disposiciones aplicables;</w:t>
      </w:r>
      <w:r w:rsidR="00D748AE" w:rsidRPr="0050035B">
        <w:rPr>
          <w:lang w:val="es-MX"/>
        </w:rPr>
        <w:t xml:space="preserve"> </w:t>
      </w:r>
      <w:r w:rsidR="008212A0" w:rsidRPr="0050035B">
        <w:rPr>
          <w:rFonts w:ascii="Century Gothic" w:hAnsi="Century Gothic"/>
          <w:lang w:val="es-MX"/>
        </w:rPr>
        <w:t>VI</w:t>
      </w:r>
      <w:r w:rsidR="00D748AE" w:rsidRPr="0050035B">
        <w:rPr>
          <w:rFonts w:ascii="Century Gothic" w:hAnsi="Century Gothic"/>
          <w:lang w:val="es-MX"/>
        </w:rPr>
        <w:t xml:space="preserve">. </w:t>
      </w:r>
      <w:r w:rsidR="00822563" w:rsidRPr="00822563">
        <w:rPr>
          <w:rFonts w:ascii="Century Gothic" w:hAnsi="Century Gothic"/>
          <w:lang w:val="es-MX"/>
        </w:rPr>
        <w:t>Llevar el ejercicio, control y seguimiento presupuestal de la Administración Pública</w:t>
      </w:r>
      <w:r w:rsidR="00822563">
        <w:rPr>
          <w:rFonts w:ascii="Century Gothic" w:hAnsi="Century Gothic"/>
          <w:lang w:val="es-MX"/>
        </w:rPr>
        <w:t xml:space="preserve"> </w:t>
      </w:r>
      <w:r w:rsidR="00822563" w:rsidRPr="00822563">
        <w:rPr>
          <w:rFonts w:ascii="Century Gothic" w:hAnsi="Century Gothic"/>
          <w:lang w:val="es-MX"/>
        </w:rPr>
        <w:t xml:space="preserve">Municipal </w:t>
      </w:r>
      <w:r w:rsidR="00E837F5" w:rsidRPr="0050035B">
        <w:rPr>
          <w:rFonts w:ascii="Century Gothic" w:hAnsi="Century Gothic"/>
          <w:lang w:val="es-MX"/>
        </w:rPr>
        <w:t>…</w:t>
      </w:r>
      <w:r w:rsidRPr="0050035B">
        <w:rPr>
          <w:rFonts w:ascii="Century Gothic" w:hAnsi="Century Gothic"/>
          <w:lang w:val="es-MX"/>
        </w:rPr>
        <w:t>”.</w:t>
      </w:r>
    </w:p>
    <w:p w:rsidR="00B45A6F" w:rsidRPr="0050035B" w:rsidRDefault="00D748AE" w:rsidP="00474784">
      <w:pPr>
        <w:spacing w:line="360" w:lineRule="auto"/>
        <w:ind w:firstLine="720"/>
        <w:jc w:val="both"/>
        <w:rPr>
          <w:rFonts w:ascii="Century Gothic" w:hAnsi="Century Gothic"/>
          <w:lang w:val="es-MX"/>
        </w:rPr>
      </w:pPr>
      <w:r w:rsidRPr="0050035B">
        <w:rPr>
          <w:rFonts w:ascii="Century Gothic" w:hAnsi="Century Gothic"/>
          <w:lang w:val="es-MX"/>
        </w:rPr>
        <w:lastRenderedPageBreak/>
        <w:t xml:space="preserve">Por último, y de manera adicional a este marco normativo, se utilizó como referencia </w:t>
      </w:r>
      <w:r w:rsidR="0073185F" w:rsidRPr="0050035B">
        <w:rPr>
          <w:rFonts w:ascii="Century Gothic" w:hAnsi="Century Gothic"/>
          <w:lang w:val="es-MX"/>
        </w:rPr>
        <w:t>el Paquete Económico Federal</w:t>
      </w:r>
      <w:r w:rsidR="006F19D8" w:rsidRPr="0050035B">
        <w:rPr>
          <w:rFonts w:ascii="Century Gothic" w:hAnsi="Century Gothic"/>
          <w:lang w:val="es-MX"/>
        </w:rPr>
        <w:t>, que contiene la Iniciativa de Ley de Ingresos Federal para el Ejercicio Fiscal 20</w:t>
      </w:r>
      <w:r w:rsidR="00B45A6F" w:rsidRPr="0050035B">
        <w:rPr>
          <w:rFonts w:ascii="Century Gothic" w:hAnsi="Century Gothic"/>
          <w:lang w:val="es-MX"/>
        </w:rPr>
        <w:t>2</w:t>
      </w:r>
      <w:r w:rsidR="00822563">
        <w:rPr>
          <w:rFonts w:ascii="Century Gothic" w:hAnsi="Century Gothic"/>
          <w:lang w:val="es-MX"/>
        </w:rPr>
        <w:t>2</w:t>
      </w:r>
      <w:r w:rsidR="006F19D8" w:rsidRPr="0050035B">
        <w:rPr>
          <w:rFonts w:ascii="Century Gothic" w:hAnsi="Century Gothic"/>
          <w:lang w:val="es-MX"/>
        </w:rPr>
        <w:t>, el Proyecto de Decreto de Presupuesto de Egresos de la Federación para el Ejercicio Fiscal 20</w:t>
      </w:r>
      <w:r w:rsidR="008212A0" w:rsidRPr="0050035B">
        <w:rPr>
          <w:rFonts w:ascii="Century Gothic" w:hAnsi="Century Gothic"/>
          <w:lang w:val="es-MX"/>
        </w:rPr>
        <w:t>2</w:t>
      </w:r>
      <w:r w:rsidR="00822563">
        <w:rPr>
          <w:rFonts w:ascii="Century Gothic" w:hAnsi="Century Gothic"/>
          <w:lang w:val="es-MX"/>
        </w:rPr>
        <w:t>2</w:t>
      </w:r>
      <w:r w:rsidR="006F19D8" w:rsidRPr="0050035B">
        <w:rPr>
          <w:rFonts w:ascii="Century Gothic" w:hAnsi="Century Gothic"/>
          <w:lang w:val="es-MX"/>
        </w:rPr>
        <w:t>y los Criterios Generales de Política Económica para la Iniciativa de Ley de Ingresos y el Proyecto de Presupuesto de Egresos de la Federación correspondientes al Ejercicio Fiscal 20</w:t>
      </w:r>
      <w:r w:rsidR="00B45A6F" w:rsidRPr="0050035B">
        <w:rPr>
          <w:rFonts w:ascii="Century Gothic" w:hAnsi="Century Gothic"/>
          <w:lang w:val="es-MX"/>
        </w:rPr>
        <w:t>2</w:t>
      </w:r>
      <w:r w:rsidR="00822563">
        <w:rPr>
          <w:rFonts w:ascii="Century Gothic" w:hAnsi="Century Gothic"/>
          <w:lang w:val="es-MX"/>
        </w:rPr>
        <w:t>2</w:t>
      </w:r>
      <w:r w:rsidR="006101E8" w:rsidRPr="0050035B">
        <w:rPr>
          <w:rFonts w:ascii="Century Gothic" w:hAnsi="Century Gothic"/>
          <w:lang w:val="es-MX"/>
        </w:rPr>
        <w:t>(CGPE)</w:t>
      </w:r>
      <w:r w:rsidRPr="0050035B">
        <w:rPr>
          <w:rFonts w:ascii="Century Gothic" w:hAnsi="Century Gothic"/>
          <w:lang w:val="es-MX"/>
        </w:rPr>
        <w:t xml:space="preserve">; </w:t>
      </w:r>
      <w:r w:rsidR="00E060C6" w:rsidRPr="0050035B">
        <w:rPr>
          <w:rFonts w:ascii="Century Gothic" w:hAnsi="Century Gothic"/>
          <w:lang w:val="es-MX"/>
        </w:rPr>
        <w:t xml:space="preserve">documentos </w:t>
      </w:r>
      <w:r w:rsidRPr="0050035B">
        <w:rPr>
          <w:rFonts w:ascii="Century Gothic" w:hAnsi="Century Gothic"/>
          <w:lang w:val="es-MX"/>
        </w:rPr>
        <w:t xml:space="preserve">que contribuyeron a la identificación de fondos y subsidios para el ámbito municipal, que sirvieron en la proyección de las cifras aquí contenidas. </w:t>
      </w:r>
    </w:p>
    <w:p w:rsidR="00B45A6F" w:rsidRPr="0050035B" w:rsidRDefault="00B45A6F" w:rsidP="00474784">
      <w:pPr>
        <w:spacing w:line="360" w:lineRule="auto"/>
        <w:ind w:firstLine="720"/>
        <w:jc w:val="both"/>
        <w:rPr>
          <w:rFonts w:ascii="Century Gothic" w:hAnsi="Century Gothic"/>
          <w:lang w:val="es-MX"/>
        </w:rPr>
      </w:pPr>
    </w:p>
    <w:p w:rsidR="00546EAE" w:rsidRPr="0050035B" w:rsidRDefault="002E26DB" w:rsidP="00474784">
      <w:pPr>
        <w:spacing w:line="360" w:lineRule="auto"/>
        <w:ind w:firstLine="720"/>
        <w:jc w:val="both"/>
        <w:rPr>
          <w:rFonts w:ascii="Century Gothic" w:hAnsi="Century Gothic"/>
          <w:lang w:val="es-MX"/>
        </w:rPr>
      </w:pPr>
      <w:r w:rsidRPr="0050035B">
        <w:rPr>
          <w:rFonts w:ascii="Century Gothic" w:hAnsi="Century Gothic"/>
          <w:lang w:val="es-MX"/>
        </w:rPr>
        <w:t xml:space="preserve">A la fecha en la que se concluye el presente documento el Estado de Nuevo León no ha presentado los documentos de su paquete fiscal, por lo que para efectos de esta proyección se contemplan los mismos fondos que fueron ministrados en el ejercicio fiscal en curso, a reserva de que se hagan modificaciones en el transcurso de la discusión de este Presupuesto de Ingresos. </w:t>
      </w:r>
    </w:p>
    <w:p w:rsidR="00474784" w:rsidRPr="0050035B" w:rsidRDefault="00474784" w:rsidP="00E6020E">
      <w:pPr>
        <w:spacing w:line="360" w:lineRule="auto"/>
        <w:jc w:val="both"/>
        <w:rPr>
          <w:rFonts w:ascii="Century Gothic" w:hAnsi="Century Gothic"/>
          <w:lang w:val="es-MX"/>
        </w:rPr>
      </w:pPr>
    </w:p>
    <w:p w:rsidR="001B11C7" w:rsidRPr="0050035B" w:rsidRDefault="00CF13F6" w:rsidP="00083677">
      <w:pPr>
        <w:spacing w:line="360" w:lineRule="auto"/>
        <w:rPr>
          <w:rFonts w:ascii="Century Gothic" w:hAnsi="Century Gothic"/>
          <w:b/>
          <w:lang w:val="es-MX"/>
        </w:rPr>
      </w:pPr>
      <w:r w:rsidRPr="0050035B">
        <w:rPr>
          <w:rFonts w:ascii="Century Gothic" w:hAnsi="Century Gothic"/>
          <w:b/>
          <w:lang w:val="es-MX"/>
        </w:rPr>
        <w:t>2</w:t>
      </w:r>
      <w:r w:rsidR="00EA3D6F" w:rsidRPr="0050035B">
        <w:rPr>
          <w:rFonts w:ascii="Century Gothic" w:hAnsi="Century Gothic"/>
          <w:b/>
          <w:lang w:val="es-MX"/>
        </w:rPr>
        <w:t>.</w:t>
      </w:r>
      <w:r w:rsidR="002B2666" w:rsidRPr="0050035B">
        <w:rPr>
          <w:rFonts w:ascii="Century Gothic" w:hAnsi="Century Gothic"/>
          <w:b/>
          <w:lang w:val="es-MX"/>
        </w:rPr>
        <w:t xml:space="preserve"> EXPOSICIÓN DE MOTIVOS</w:t>
      </w:r>
    </w:p>
    <w:p w:rsidR="003611EB" w:rsidRPr="00B9107D" w:rsidRDefault="003611EB" w:rsidP="003611EB">
      <w:pPr>
        <w:spacing w:line="360" w:lineRule="auto"/>
        <w:jc w:val="both"/>
        <w:rPr>
          <w:rFonts w:ascii="Century Gothic" w:hAnsi="Century Gothic"/>
          <w:lang w:val="es-MX"/>
        </w:rPr>
      </w:pPr>
      <w:r w:rsidRPr="0050035B">
        <w:rPr>
          <w:rFonts w:ascii="Century Gothic" w:hAnsi="Century Gothic"/>
          <w:lang w:val="es-MX"/>
        </w:rPr>
        <w:t xml:space="preserve">Una vez hecho el análisis de las disposiciones normativas que afectan la elaboración y proyecciones del PILI 2022, las cuales fungen como un marco de </w:t>
      </w:r>
      <w:r w:rsidR="00FD580B" w:rsidRPr="0050035B">
        <w:rPr>
          <w:rFonts w:ascii="Century Gothic" w:hAnsi="Century Gothic"/>
          <w:lang w:val="es-MX"/>
        </w:rPr>
        <w:t>referencia para</w:t>
      </w:r>
      <w:r w:rsidRPr="0050035B">
        <w:rPr>
          <w:rFonts w:ascii="Century Gothic" w:hAnsi="Century Gothic"/>
          <w:lang w:val="es-MX"/>
        </w:rPr>
        <w:t xml:space="preserve"> su </w:t>
      </w:r>
      <w:r w:rsidR="00C13158" w:rsidRPr="0050035B">
        <w:rPr>
          <w:rFonts w:ascii="Century Gothic" w:hAnsi="Century Gothic"/>
          <w:lang w:val="es-MX"/>
        </w:rPr>
        <w:t>fundamentación; resulta</w:t>
      </w:r>
      <w:r w:rsidRPr="0050035B">
        <w:rPr>
          <w:rFonts w:ascii="Century Gothic" w:hAnsi="Century Gothic"/>
          <w:lang w:val="es-MX"/>
        </w:rPr>
        <w:t xml:space="preserve"> de suma importancia realizar un análisis del entorno económico </w:t>
      </w:r>
      <w:r w:rsidR="00C17543">
        <w:rPr>
          <w:rFonts w:ascii="Century Gothic" w:hAnsi="Century Gothic"/>
          <w:lang w:val="es-MX"/>
        </w:rPr>
        <w:t xml:space="preserve">internacional, nacional y local, así como </w:t>
      </w:r>
      <w:r w:rsidRPr="0050035B">
        <w:rPr>
          <w:rFonts w:ascii="Century Gothic" w:hAnsi="Century Gothic"/>
          <w:lang w:val="es-MX"/>
        </w:rPr>
        <w:t xml:space="preserve">su impacto en </w:t>
      </w:r>
      <w:r w:rsidR="00FD580B">
        <w:rPr>
          <w:rFonts w:ascii="Century Gothic" w:hAnsi="Century Gothic"/>
          <w:lang w:val="es-MX"/>
        </w:rPr>
        <w:t>las proyecciones de</w:t>
      </w:r>
      <w:r w:rsidRPr="0050035B">
        <w:rPr>
          <w:rFonts w:ascii="Century Gothic" w:hAnsi="Century Gothic"/>
          <w:lang w:val="es-MX"/>
        </w:rPr>
        <w:t xml:space="preserve"> ingresos del Municipio de Monterrey, </w:t>
      </w:r>
      <w:r w:rsidR="00FD580B">
        <w:rPr>
          <w:rFonts w:ascii="Century Gothic" w:hAnsi="Century Gothic"/>
          <w:lang w:val="es-MX"/>
        </w:rPr>
        <w:t>además de</w:t>
      </w:r>
      <w:r w:rsidRPr="0050035B">
        <w:rPr>
          <w:rFonts w:ascii="Century Gothic" w:hAnsi="Century Gothic"/>
          <w:lang w:val="es-MX"/>
        </w:rPr>
        <w:t xml:space="preserve"> elaborar un estudio de los principales criterios y factores económicos que afectan la proyección realizada</w:t>
      </w:r>
      <w:r w:rsidR="00FD580B">
        <w:rPr>
          <w:rFonts w:ascii="Century Gothic" w:hAnsi="Century Gothic"/>
          <w:lang w:val="es-MX"/>
        </w:rPr>
        <w:t>. L</w:t>
      </w:r>
      <w:r w:rsidRPr="0050035B">
        <w:rPr>
          <w:rFonts w:ascii="Century Gothic" w:hAnsi="Century Gothic"/>
          <w:lang w:val="es-MX"/>
        </w:rPr>
        <w:t>o anterior</w:t>
      </w:r>
      <w:r w:rsidR="00C13158">
        <w:rPr>
          <w:rFonts w:ascii="Century Gothic" w:hAnsi="Century Gothic"/>
          <w:lang w:val="es-MX"/>
        </w:rPr>
        <w:t>,</w:t>
      </w:r>
      <w:r w:rsidRPr="0050035B">
        <w:rPr>
          <w:rFonts w:ascii="Century Gothic" w:hAnsi="Century Gothic"/>
          <w:lang w:val="es-MX"/>
        </w:rPr>
        <w:t xml:space="preserve"> de conformidad a los CGPE 2022, los cuales fueron dados a conocer el 8 de septiembre de 2021, cuando se </w:t>
      </w:r>
      <w:r w:rsidR="00C17543">
        <w:rPr>
          <w:rFonts w:ascii="Century Gothic" w:hAnsi="Century Gothic"/>
          <w:lang w:val="es-MX"/>
        </w:rPr>
        <w:t>hizo</w:t>
      </w:r>
      <w:r w:rsidRPr="0050035B">
        <w:rPr>
          <w:rFonts w:ascii="Century Gothic" w:hAnsi="Century Gothic"/>
          <w:lang w:val="es-MX"/>
        </w:rPr>
        <w:t xml:space="preserve"> la entrega oficial del Paquete </w:t>
      </w:r>
      <w:r w:rsidRPr="0050035B">
        <w:rPr>
          <w:rFonts w:ascii="Century Gothic" w:hAnsi="Century Gothic"/>
          <w:lang w:val="es-MX"/>
        </w:rPr>
        <w:lastRenderedPageBreak/>
        <w:t xml:space="preserve">Económico para el Ejercicio Fiscal 2022 por parte de la </w:t>
      </w:r>
      <w:r w:rsidRPr="00B9107D">
        <w:rPr>
          <w:rFonts w:ascii="Century Gothic" w:hAnsi="Century Gothic"/>
          <w:lang w:val="es-MX"/>
        </w:rPr>
        <w:t>SHCP a la Cámara de Diputados.</w:t>
      </w:r>
    </w:p>
    <w:p w:rsidR="00D966EC" w:rsidRPr="00B9107D" w:rsidRDefault="00D966EC" w:rsidP="00D966EC">
      <w:pPr>
        <w:spacing w:line="360" w:lineRule="auto"/>
        <w:jc w:val="both"/>
        <w:rPr>
          <w:rFonts w:ascii="Century Gothic" w:hAnsi="Century Gothic"/>
          <w:lang w:val="es-MX"/>
        </w:rPr>
      </w:pPr>
    </w:p>
    <w:p w:rsidR="00C17543" w:rsidRDefault="00C17543" w:rsidP="00D32B06">
      <w:pPr>
        <w:spacing w:line="360" w:lineRule="auto"/>
        <w:ind w:firstLine="720"/>
        <w:jc w:val="both"/>
        <w:rPr>
          <w:rFonts w:ascii="Century Gothic" w:hAnsi="Century Gothic"/>
          <w:lang w:val="es-MX"/>
        </w:rPr>
      </w:pPr>
      <w:r>
        <w:rPr>
          <w:rFonts w:ascii="Century Gothic" w:hAnsi="Century Gothic"/>
          <w:lang w:val="es-MX"/>
        </w:rPr>
        <w:t>E</w:t>
      </w:r>
      <w:r w:rsidR="00784917" w:rsidRPr="00B9107D">
        <w:rPr>
          <w:rFonts w:ascii="Century Gothic" w:hAnsi="Century Gothic"/>
          <w:lang w:val="es-MX"/>
        </w:rPr>
        <w:t xml:space="preserve">l contexto socioeconómico extraordinario </w:t>
      </w:r>
      <w:r w:rsidR="00AA5954" w:rsidRPr="00B9107D">
        <w:rPr>
          <w:rFonts w:ascii="Century Gothic" w:hAnsi="Century Gothic"/>
          <w:lang w:val="es-MX"/>
        </w:rPr>
        <w:t>que se fue desarrollando desde</w:t>
      </w:r>
      <w:r w:rsidR="00784917" w:rsidRPr="00B9107D">
        <w:rPr>
          <w:rFonts w:ascii="Century Gothic" w:hAnsi="Century Gothic"/>
          <w:lang w:val="es-MX"/>
        </w:rPr>
        <w:t xml:space="preserve"> finales del año 2019, </w:t>
      </w:r>
      <w:r w:rsidR="00AA5954" w:rsidRPr="00B9107D">
        <w:rPr>
          <w:rFonts w:ascii="Century Gothic" w:hAnsi="Century Gothic"/>
          <w:lang w:val="es-MX"/>
        </w:rPr>
        <w:t>mismo que</w:t>
      </w:r>
      <w:r w:rsidR="00784917" w:rsidRPr="00B9107D">
        <w:rPr>
          <w:rFonts w:ascii="Century Gothic" w:hAnsi="Century Gothic"/>
          <w:lang w:val="es-MX"/>
        </w:rPr>
        <w:t xml:space="preserve"> ha traído a lo largo de este año 2021</w:t>
      </w:r>
      <w:r w:rsidR="00AA5954" w:rsidRPr="00B9107D">
        <w:rPr>
          <w:rFonts w:ascii="Century Gothic" w:hAnsi="Century Gothic"/>
          <w:lang w:val="es-MX"/>
        </w:rPr>
        <w:t xml:space="preserve"> </w:t>
      </w:r>
      <w:r w:rsidR="00784917" w:rsidRPr="00B9107D">
        <w:rPr>
          <w:rFonts w:ascii="Century Gothic" w:hAnsi="Century Gothic"/>
          <w:lang w:val="es-MX"/>
        </w:rPr>
        <w:t>un entorno global complejo, con altos costos en materia de salud y bienestar para la población, derivado de la pandemia ocasionada por</w:t>
      </w:r>
      <w:r>
        <w:rPr>
          <w:rFonts w:ascii="Century Gothic" w:hAnsi="Century Gothic"/>
          <w:lang w:val="es-MX"/>
        </w:rPr>
        <w:t xml:space="preserve"> el virus SARS-CoV2 (COVID-19),</w:t>
      </w:r>
      <w:r w:rsidR="00784917" w:rsidRPr="00B9107D">
        <w:rPr>
          <w:rFonts w:ascii="Century Gothic" w:hAnsi="Century Gothic"/>
          <w:lang w:val="es-MX"/>
        </w:rPr>
        <w:t xml:space="preserve"> así como las medidas que han sido tomadas para su contención</w:t>
      </w:r>
      <w:r w:rsidR="00FC15B0">
        <w:rPr>
          <w:rFonts w:ascii="Century Gothic" w:hAnsi="Century Gothic"/>
          <w:lang w:val="es-MX"/>
        </w:rPr>
        <w:t>, d</w:t>
      </w:r>
      <w:r w:rsidR="00784917" w:rsidRPr="0050035B">
        <w:rPr>
          <w:rFonts w:ascii="Century Gothic" w:hAnsi="Century Gothic"/>
          <w:lang w:val="es-MX"/>
        </w:rPr>
        <w:t xml:space="preserve">urante el ejercicio fiscal 2020 fue necesario </w:t>
      </w:r>
      <w:r w:rsidR="004D4B9B" w:rsidRPr="0050035B">
        <w:rPr>
          <w:rFonts w:ascii="Century Gothic" w:hAnsi="Century Gothic"/>
          <w:lang w:val="es-MX"/>
        </w:rPr>
        <w:t>tomar medidas extraordinarias</w:t>
      </w:r>
      <w:r w:rsidR="00D975B1" w:rsidRPr="0050035B">
        <w:rPr>
          <w:rFonts w:ascii="Century Gothic" w:hAnsi="Century Gothic"/>
          <w:lang w:val="es-MX"/>
        </w:rPr>
        <w:t xml:space="preserve"> que </w:t>
      </w:r>
      <w:r w:rsidR="00784917" w:rsidRPr="0050035B">
        <w:rPr>
          <w:rFonts w:ascii="Century Gothic" w:hAnsi="Century Gothic"/>
          <w:lang w:val="es-MX"/>
        </w:rPr>
        <w:t>implicaron</w:t>
      </w:r>
      <w:r w:rsidR="00D975B1" w:rsidRPr="0050035B">
        <w:rPr>
          <w:rFonts w:ascii="Century Gothic" w:hAnsi="Century Gothic"/>
          <w:lang w:val="es-MX"/>
        </w:rPr>
        <w:t xml:space="preserve"> mo</w:t>
      </w:r>
      <w:r w:rsidR="00AE72A1" w:rsidRPr="0050035B">
        <w:rPr>
          <w:rFonts w:ascii="Century Gothic" w:hAnsi="Century Gothic"/>
          <w:lang w:val="es-MX"/>
        </w:rPr>
        <w:t>dificaciones al Presupuesto de E</w:t>
      </w:r>
      <w:r w:rsidR="00D975B1" w:rsidRPr="0050035B">
        <w:rPr>
          <w:rFonts w:ascii="Century Gothic" w:hAnsi="Century Gothic"/>
          <w:lang w:val="es-MX"/>
        </w:rPr>
        <w:t>gresos</w:t>
      </w:r>
      <w:r w:rsidR="004D4B9B" w:rsidRPr="0050035B">
        <w:rPr>
          <w:rFonts w:ascii="Century Gothic" w:hAnsi="Century Gothic"/>
          <w:lang w:val="es-MX"/>
        </w:rPr>
        <w:t xml:space="preserve"> 2020</w:t>
      </w:r>
      <w:r w:rsidR="00D975B1" w:rsidRPr="0050035B">
        <w:rPr>
          <w:rFonts w:ascii="Century Gothic" w:hAnsi="Century Gothic"/>
          <w:lang w:val="es-MX"/>
        </w:rPr>
        <w:t xml:space="preserve">. </w:t>
      </w:r>
    </w:p>
    <w:p w:rsidR="00C17543" w:rsidRDefault="00C17543" w:rsidP="00D32B06">
      <w:pPr>
        <w:spacing w:line="360" w:lineRule="auto"/>
        <w:ind w:firstLine="720"/>
        <w:jc w:val="both"/>
        <w:rPr>
          <w:rFonts w:ascii="Century Gothic" w:hAnsi="Century Gothic"/>
          <w:lang w:val="es-MX"/>
        </w:rPr>
      </w:pPr>
    </w:p>
    <w:p w:rsidR="00D975B1" w:rsidRPr="0050035B" w:rsidRDefault="00784917" w:rsidP="00D32B06">
      <w:pPr>
        <w:spacing w:line="360" w:lineRule="auto"/>
        <w:ind w:firstLine="720"/>
        <w:jc w:val="both"/>
        <w:rPr>
          <w:rFonts w:ascii="Century Gothic" w:hAnsi="Century Gothic"/>
          <w:lang w:val="es-MX"/>
        </w:rPr>
      </w:pPr>
      <w:r w:rsidRPr="0050035B">
        <w:rPr>
          <w:rFonts w:ascii="Century Gothic" w:hAnsi="Century Gothic"/>
          <w:lang w:val="es-MX"/>
        </w:rPr>
        <w:t xml:space="preserve">Para el ejercicio 2021 a consecuencia de la </w:t>
      </w:r>
      <w:r w:rsidRPr="0050035B">
        <w:rPr>
          <w:rFonts w:ascii="Century Gothic" w:hAnsi="Century Gothic"/>
          <w:i/>
          <w:lang w:val="es-MX"/>
        </w:rPr>
        <w:t xml:space="preserve">“Declaratoria de Emergencia en todo el Territorio del Municipio de Monterrey, Nuevo León, en virtud del alto riesgo que representa para sus habitantes y quienes lo transitan, la pandemia </w:t>
      </w:r>
      <w:r w:rsidR="00C17543">
        <w:rPr>
          <w:rFonts w:ascii="Century Gothic" w:hAnsi="Century Gothic"/>
          <w:lang w:val="es-MX"/>
        </w:rPr>
        <w:t>virus SARS-CoV2 (COVID-19)</w:t>
      </w:r>
      <w:r w:rsidRPr="0050035B">
        <w:rPr>
          <w:rFonts w:ascii="Century Gothic" w:hAnsi="Century Gothic"/>
          <w:i/>
          <w:lang w:val="es-MX"/>
        </w:rPr>
        <w:t xml:space="preserve">” </w:t>
      </w:r>
      <w:r w:rsidRPr="0050035B">
        <w:rPr>
          <w:rFonts w:ascii="Century Gothic" w:hAnsi="Century Gothic"/>
          <w:lang w:val="es-MX"/>
        </w:rPr>
        <w:t>publicada</w:t>
      </w:r>
      <w:r w:rsidRPr="0050035B">
        <w:rPr>
          <w:rFonts w:ascii="Century Gothic" w:hAnsi="Century Gothic"/>
          <w:i/>
          <w:lang w:val="es-MX"/>
        </w:rPr>
        <w:t xml:space="preserve"> </w:t>
      </w:r>
      <w:r w:rsidRPr="0050035B">
        <w:rPr>
          <w:rFonts w:ascii="Century Gothic" w:hAnsi="Century Gothic"/>
          <w:lang w:val="es-MX"/>
        </w:rPr>
        <w:t>en el Periódico oficial del Estado de Nuevo León, número 36</w:t>
      </w:r>
      <w:r w:rsidR="00C17543">
        <w:rPr>
          <w:rFonts w:ascii="Century Gothic" w:hAnsi="Century Gothic"/>
          <w:lang w:val="es-MX"/>
        </w:rPr>
        <w:t xml:space="preserve"> hecha en 2020</w:t>
      </w:r>
      <w:r w:rsidR="00D32B06" w:rsidRPr="0050035B">
        <w:rPr>
          <w:rFonts w:ascii="Century Gothic" w:hAnsi="Century Gothic"/>
          <w:lang w:val="es-MX"/>
        </w:rPr>
        <w:t xml:space="preserve">; </w:t>
      </w:r>
      <w:r w:rsidR="00D975B1" w:rsidRPr="0050035B">
        <w:rPr>
          <w:rFonts w:ascii="Century Gothic" w:hAnsi="Century Gothic"/>
          <w:lang w:val="es-MX"/>
        </w:rPr>
        <w:t>fue necesario priorizar las actividades de la administración municipal hacia la prevención de riesgos de contagio, auxilio, apoyo y atención a la poblaci</w:t>
      </w:r>
      <w:r w:rsidR="004D4B9B" w:rsidRPr="0050035B">
        <w:rPr>
          <w:rFonts w:ascii="Century Gothic" w:hAnsi="Century Gothic"/>
          <w:lang w:val="es-MX"/>
        </w:rPr>
        <w:t>ón. P</w:t>
      </w:r>
      <w:r w:rsidR="003604ED" w:rsidRPr="0050035B">
        <w:rPr>
          <w:rFonts w:ascii="Century Gothic" w:hAnsi="Century Gothic"/>
          <w:lang w:val="es-MX"/>
        </w:rPr>
        <w:t>articularmente</w:t>
      </w:r>
      <w:r w:rsidR="004D4B9B" w:rsidRPr="0050035B">
        <w:rPr>
          <w:rFonts w:ascii="Century Gothic" w:hAnsi="Century Gothic"/>
          <w:lang w:val="es-MX"/>
        </w:rPr>
        <w:t>,</w:t>
      </w:r>
      <w:r w:rsidR="003604ED" w:rsidRPr="0050035B">
        <w:rPr>
          <w:rFonts w:ascii="Century Gothic" w:hAnsi="Century Gothic"/>
          <w:lang w:val="es-MX"/>
        </w:rPr>
        <w:t xml:space="preserve"> la Tesorería del Municipio de </w:t>
      </w:r>
      <w:r w:rsidR="009B1E9E" w:rsidRPr="0050035B">
        <w:rPr>
          <w:rFonts w:ascii="Century Gothic" w:hAnsi="Century Gothic"/>
          <w:lang w:val="es-MX"/>
        </w:rPr>
        <w:t>Monterrey fue</w:t>
      </w:r>
      <w:r w:rsidR="003604ED" w:rsidRPr="0050035B">
        <w:rPr>
          <w:rFonts w:ascii="Century Gothic" w:hAnsi="Century Gothic"/>
          <w:lang w:val="es-MX"/>
        </w:rPr>
        <w:t xml:space="preserve"> instruida para realizar </w:t>
      </w:r>
      <w:r w:rsidR="00AE72A1" w:rsidRPr="0050035B">
        <w:rPr>
          <w:rFonts w:ascii="Century Gothic" w:hAnsi="Century Gothic"/>
          <w:lang w:val="es-MX"/>
        </w:rPr>
        <w:t xml:space="preserve">las acciones oportunas </w:t>
      </w:r>
      <w:r w:rsidR="00E31585" w:rsidRPr="0050035B">
        <w:rPr>
          <w:rFonts w:ascii="Century Gothic" w:hAnsi="Century Gothic"/>
          <w:lang w:val="es-MX"/>
        </w:rPr>
        <w:t>para ejecutar</w:t>
      </w:r>
      <w:r w:rsidR="00AE72A1" w:rsidRPr="0050035B">
        <w:rPr>
          <w:rFonts w:ascii="Century Gothic" w:hAnsi="Century Gothic"/>
          <w:lang w:val="es-MX"/>
        </w:rPr>
        <w:t xml:space="preserve"> el Plan de Contingencia</w:t>
      </w:r>
      <w:r w:rsidR="00C17543">
        <w:rPr>
          <w:rFonts w:ascii="Century Gothic" w:hAnsi="Century Gothic"/>
          <w:lang w:val="es-MX"/>
        </w:rPr>
        <w:t xml:space="preserve"> contra el</w:t>
      </w:r>
      <w:r w:rsidR="00AE72A1" w:rsidRPr="0050035B">
        <w:rPr>
          <w:rFonts w:ascii="Century Gothic" w:hAnsi="Century Gothic"/>
          <w:lang w:val="es-MX"/>
        </w:rPr>
        <w:t xml:space="preserve"> </w:t>
      </w:r>
      <w:r w:rsidR="00C17543">
        <w:rPr>
          <w:rFonts w:ascii="Century Gothic" w:hAnsi="Century Gothic"/>
          <w:lang w:val="es-MX"/>
        </w:rPr>
        <w:t xml:space="preserve">virus SARS-CoV2 (COVID-19) </w:t>
      </w:r>
      <w:r w:rsidR="00AE72A1" w:rsidRPr="0050035B">
        <w:rPr>
          <w:rFonts w:ascii="Century Gothic" w:hAnsi="Century Gothic"/>
          <w:lang w:val="es-MX"/>
        </w:rPr>
        <w:t>derivado de la Declaratoria de Emergencia.</w:t>
      </w:r>
    </w:p>
    <w:p w:rsidR="009B1E9E" w:rsidRPr="0050035B" w:rsidRDefault="009B1E9E" w:rsidP="00375F0D">
      <w:pPr>
        <w:spacing w:line="360" w:lineRule="auto"/>
        <w:jc w:val="both"/>
        <w:rPr>
          <w:rFonts w:ascii="Century Gothic" w:hAnsi="Century Gothic"/>
          <w:lang w:val="es-MX"/>
        </w:rPr>
      </w:pPr>
    </w:p>
    <w:p w:rsidR="00FC650B" w:rsidRPr="0050035B" w:rsidRDefault="00CF13F6" w:rsidP="008A203A">
      <w:pPr>
        <w:tabs>
          <w:tab w:val="left" w:pos="2552"/>
        </w:tabs>
        <w:spacing w:line="360" w:lineRule="auto"/>
        <w:jc w:val="both"/>
        <w:rPr>
          <w:rFonts w:ascii="Century Gothic" w:hAnsi="Century Gothic"/>
          <w:b/>
          <w:lang w:val="es-MX"/>
        </w:rPr>
      </w:pPr>
      <w:r w:rsidRPr="0050035B">
        <w:rPr>
          <w:rFonts w:ascii="Century Gothic" w:hAnsi="Century Gothic"/>
          <w:b/>
          <w:lang w:val="es-MX"/>
        </w:rPr>
        <w:t>2.</w:t>
      </w:r>
      <w:r w:rsidR="00C960F0" w:rsidRPr="0050035B">
        <w:rPr>
          <w:rFonts w:ascii="Century Gothic" w:hAnsi="Century Gothic"/>
          <w:b/>
          <w:lang w:val="es-MX"/>
        </w:rPr>
        <w:t>1</w:t>
      </w:r>
      <w:r w:rsidR="00EA3D6F" w:rsidRPr="0050035B">
        <w:rPr>
          <w:rFonts w:ascii="Century Gothic" w:hAnsi="Century Gothic"/>
          <w:b/>
          <w:lang w:val="es-MX"/>
        </w:rPr>
        <w:t>.</w:t>
      </w:r>
      <w:r w:rsidR="00FC650B" w:rsidRPr="0050035B">
        <w:rPr>
          <w:rFonts w:ascii="Century Gothic" w:hAnsi="Century Gothic"/>
          <w:b/>
          <w:lang w:val="es-MX"/>
        </w:rPr>
        <w:t xml:space="preserve"> </w:t>
      </w:r>
      <w:r w:rsidR="00E6020E" w:rsidRPr="0050035B">
        <w:rPr>
          <w:rFonts w:ascii="Century Gothic" w:hAnsi="Century Gothic"/>
          <w:b/>
          <w:lang w:val="es-MX"/>
        </w:rPr>
        <w:t xml:space="preserve">Entorno </w:t>
      </w:r>
      <w:r w:rsidR="00A26E5B" w:rsidRPr="0050035B">
        <w:rPr>
          <w:rFonts w:ascii="Century Gothic" w:hAnsi="Century Gothic"/>
          <w:b/>
          <w:lang w:val="es-MX"/>
        </w:rPr>
        <w:t>Macroeconómico</w:t>
      </w:r>
    </w:p>
    <w:p w:rsidR="00AE72A1" w:rsidRPr="0050035B" w:rsidRDefault="00C906C5" w:rsidP="00DE28C0">
      <w:pPr>
        <w:spacing w:line="360" w:lineRule="auto"/>
        <w:jc w:val="both"/>
        <w:rPr>
          <w:rFonts w:ascii="Century Gothic" w:hAnsi="Century Gothic"/>
          <w:lang w:val="es-MX"/>
        </w:rPr>
      </w:pPr>
      <w:r w:rsidRPr="0050035B">
        <w:rPr>
          <w:rFonts w:ascii="Century Gothic" w:hAnsi="Century Gothic"/>
          <w:lang w:val="es-MX"/>
        </w:rPr>
        <w:t xml:space="preserve">A medida que avanza el conocimiento sobre el virus SARS-CoV2 (COVID-19) y sus mecanismos de transmisión, se ha logrado un mejor enfoque en las medidas de contención sanitaria. A la par de un crecimiento en la </w:t>
      </w:r>
      <w:r w:rsidRPr="0050035B">
        <w:rPr>
          <w:rFonts w:ascii="Century Gothic" w:hAnsi="Century Gothic"/>
          <w:lang w:val="es-MX"/>
        </w:rPr>
        <w:lastRenderedPageBreak/>
        <w:t>velocidad de producción y distribución de vacunas</w:t>
      </w:r>
      <w:r w:rsidR="00A8375E">
        <w:rPr>
          <w:rFonts w:ascii="Century Gothic" w:hAnsi="Century Gothic"/>
          <w:lang w:val="es-MX"/>
        </w:rPr>
        <w:t>,</w:t>
      </w:r>
      <w:r w:rsidRPr="0050035B">
        <w:rPr>
          <w:rFonts w:ascii="Century Gothic" w:hAnsi="Century Gothic"/>
          <w:lang w:val="es-MX"/>
        </w:rPr>
        <w:t xml:space="preserve"> lo cual ha favorecido e</w:t>
      </w:r>
      <w:r w:rsidR="00C17543">
        <w:rPr>
          <w:rFonts w:ascii="Century Gothic" w:hAnsi="Century Gothic"/>
          <w:lang w:val="es-MX"/>
        </w:rPr>
        <w:t>l progreso en la aplicación de é</w:t>
      </w:r>
      <w:r w:rsidRPr="0050035B">
        <w:rPr>
          <w:rFonts w:ascii="Century Gothic" w:hAnsi="Century Gothic"/>
          <w:lang w:val="es-MX"/>
        </w:rPr>
        <w:t xml:space="preserve">stas. Es por ello que, gracias al esfuerzo de la sociedad, los gobiernos y un trabajo sin precedentes de la comunidad científica, al 3 de septiembre del 2021, el 40.8% de la población mundial cuenta ya con al menos una dosis, de acuerdo a la Universidad de Oxford. </w:t>
      </w:r>
    </w:p>
    <w:p w:rsidR="00C906C5" w:rsidRPr="0050035B" w:rsidRDefault="00C906C5" w:rsidP="00DE28C0">
      <w:pPr>
        <w:spacing w:line="360" w:lineRule="auto"/>
        <w:jc w:val="both"/>
        <w:rPr>
          <w:rFonts w:ascii="Century Gothic" w:hAnsi="Century Gothic"/>
          <w:lang w:val="es-MX"/>
        </w:rPr>
      </w:pPr>
      <w:r w:rsidRPr="0050035B">
        <w:rPr>
          <w:rFonts w:ascii="Century Gothic" w:hAnsi="Century Gothic"/>
          <w:lang w:val="es-MX"/>
        </w:rPr>
        <w:tab/>
      </w:r>
    </w:p>
    <w:p w:rsidR="00C906C5" w:rsidRPr="0050035B" w:rsidRDefault="00C906C5" w:rsidP="00DE28C0">
      <w:pPr>
        <w:spacing w:line="360" w:lineRule="auto"/>
        <w:jc w:val="both"/>
        <w:rPr>
          <w:rFonts w:ascii="Century Gothic" w:hAnsi="Century Gothic"/>
          <w:lang w:val="es-MX"/>
        </w:rPr>
      </w:pPr>
      <w:r w:rsidRPr="0050035B">
        <w:rPr>
          <w:rFonts w:ascii="Century Gothic" w:hAnsi="Century Gothic"/>
          <w:lang w:val="es-MX"/>
        </w:rPr>
        <w:tab/>
        <w:t xml:space="preserve">Lo anterior, ha permitido la reapertura paulatina de numerosas actividades, sin necesidad de </w:t>
      </w:r>
      <w:r w:rsidR="00A8375E">
        <w:rPr>
          <w:rFonts w:ascii="Century Gothic" w:hAnsi="Century Gothic"/>
          <w:lang w:val="es-MX"/>
        </w:rPr>
        <w:t>un confinamiento estricto</w:t>
      </w:r>
      <w:r w:rsidRPr="0050035B">
        <w:rPr>
          <w:rFonts w:ascii="Century Gothic" w:hAnsi="Century Gothic"/>
          <w:lang w:val="es-MX"/>
        </w:rPr>
        <w:t xml:space="preserve">, gracias a lo cual la economía global ha mostrado una recuperación notable </w:t>
      </w:r>
      <w:r w:rsidR="00C17543">
        <w:rPr>
          <w:rFonts w:ascii="Century Gothic" w:hAnsi="Century Gothic"/>
          <w:lang w:val="es-MX"/>
        </w:rPr>
        <w:t>a partir de la segunda mitad de</w:t>
      </w:r>
      <w:r w:rsidRPr="0050035B">
        <w:rPr>
          <w:rFonts w:ascii="Century Gothic" w:hAnsi="Century Gothic"/>
          <w:lang w:val="es-MX"/>
        </w:rPr>
        <w:t xml:space="preserve"> 2020. </w:t>
      </w:r>
    </w:p>
    <w:p w:rsidR="0016640B" w:rsidRPr="0050035B" w:rsidRDefault="0016640B" w:rsidP="00DE28C0">
      <w:pPr>
        <w:spacing w:line="360" w:lineRule="auto"/>
        <w:jc w:val="both"/>
        <w:rPr>
          <w:rFonts w:ascii="Century Gothic" w:hAnsi="Century Gothic"/>
          <w:lang w:val="es-MX"/>
        </w:rPr>
      </w:pPr>
    </w:p>
    <w:p w:rsidR="0016640B" w:rsidRPr="0050035B" w:rsidRDefault="00830DA9" w:rsidP="0016640B">
      <w:pPr>
        <w:spacing w:line="360" w:lineRule="auto"/>
        <w:ind w:firstLine="720"/>
        <w:jc w:val="both"/>
        <w:rPr>
          <w:rFonts w:ascii="Century Gothic" w:hAnsi="Century Gothic"/>
          <w:lang w:val="es-MX"/>
        </w:rPr>
      </w:pPr>
      <w:r>
        <w:rPr>
          <w:rFonts w:ascii="Century Gothic" w:hAnsi="Century Gothic"/>
          <w:lang w:val="es-MX"/>
        </w:rPr>
        <w:t>Sin embargo</w:t>
      </w:r>
      <w:r w:rsidR="0016640B" w:rsidRPr="0050035B">
        <w:rPr>
          <w:rFonts w:ascii="Century Gothic" w:hAnsi="Century Gothic"/>
          <w:lang w:val="es-MX"/>
        </w:rPr>
        <w:t xml:space="preserve">, se aprecia una notable divergencia en la reactivación entre las distintas regiones del mundo, asociada al acceso desigual a las vacunas para combatir el virus del SARS-CoV-2. Al 3 de septiembre de 2021, 58.2% de la población en economías avanzadas había recibido esquemas completos de vacunación, mientras que la proporción era de 29.2% en emergentes y solo 5.7% en países de bajos ingresos, </w:t>
      </w:r>
      <w:r>
        <w:rPr>
          <w:rFonts w:ascii="Century Gothic" w:hAnsi="Century Gothic"/>
          <w:lang w:val="es-MX"/>
        </w:rPr>
        <w:t xml:space="preserve">esto </w:t>
      </w:r>
      <w:r w:rsidR="0016640B" w:rsidRPr="0050035B">
        <w:rPr>
          <w:rFonts w:ascii="Century Gothic" w:hAnsi="Century Gothic"/>
          <w:lang w:val="es-MX"/>
        </w:rPr>
        <w:t>de acuerdo con datos de la Universidad de Oxford</w:t>
      </w:r>
      <w:r w:rsidR="00B66409">
        <w:rPr>
          <w:rFonts w:ascii="Century Gothic" w:hAnsi="Century Gothic"/>
          <w:lang w:val="es-MX"/>
        </w:rPr>
        <w:t>, como se puede apreciar en la gráfica 2.1</w:t>
      </w:r>
      <w:r w:rsidR="0016640B" w:rsidRPr="0050035B">
        <w:rPr>
          <w:rFonts w:ascii="Century Gothic" w:hAnsi="Century Gothic"/>
          <w:lang w:val="es-MX"/>
        </w:rPr>
        <w:t>.</w:t>
      </w:r>
    </w:p>
    <w:p w:rsidR="0016640B" w:rsidRPr="0050035B" w:rsidRDefault="0016640B" w:rsidP="0016640B">
      <w:pPr>
        <w:spacing w:line="360" w:lineRule="auto"/>
        <w:ind w:firstLine="720"/>
        <w:jc w:val="both"/>
        <w:rPr>
          <w:rFonts w:ascii="Century Gothic" w:hAnsi="Century Gothic"/>
          <w:lang w:val="es-MX"/>
        </w:rPr>
      </w:pPr>
    </w:p>
    <w:p w:rsidR="00AE72A1" w:rsidRDefault="0016640B" w:rsidP="0016640B">
      <w:pPr>
        <w:spacing w:line="360" w:lineRule="auto"/>
        <w:ind w:firstLine="720"/>
        <w:jc w:val="both"/>
        <w:rPr>
          <w:rFonts w:ascii="Century Gothic" w:hAnsi="Century Gothic"/>
          <w:lang w:val="es-MX"/>
        </w:rPr>
      </w:pPr>
      <w:r w:rsidRPr="0050035B">
        <w:rPr>
          <w:rFonts w:ascii="Century Gothic" w:hAnsi="Century Gothic"/>
          <w:lang w:val="es-MX"/>
        </w:rPr>
        <w:t xml:space="preserve">Durante el primer semestre del año se han experimentado incrementos en los niveles de inflación en todo el mundo por choques transitorios de oferta, cuellos de botella en las cadenas de producción y aumento en los precios de las materias primas, en particular del crudo, así como un cambio en los patrones de consumo, resultado de la reactivación de ciertos sectores, combinado con una base de comparación relativamente baja. </w:t>
      </w:r>
      <w:r w:rsidRPr="00B66409">
        <w:rPr>
          <w:rFonts w:ascii="Century Gothic" w:hAnsi="Century Gothic"/>
          <w:lang w:val="es-MX"/>
        </w:rPr>
        <w:t>Por</w:t>
      </w:r>
      <w:r w:rsidRPr="0050035B">
        <w:rPr>
          <w:rFonts w:ascii="Century Gothic" w:hAnsi="Century Gothic"/>
          <w:lang w:val="es-MX"/>
        </w:rPr>
        <w:t xml:space="preserve"> lo cual, las perspectivas para el sector financiero se mantienen positivas, aunque persiste la posibilidad de un incremento en la </w:t>
      </w:r>
      <w:r w:rsidRPr="0050035B">
        <w:rPr>
          <w:rFonts w:ascii="Century Gothic" w:hAnsi="Century Gothic"/>
          <w:lang w:val="es-MX"/>
        </w:rPr>
        <w:lastRenderedPageBreak/>
        <w:t>volatilidad debido a la incertidumbre sobre la evolución de la pandemia y sus efectos económicos, así como sobre las estrategias de consolidación fiscal y cambios a las posturas monetarias a nivel internacional.</w:t>
      </w:r>
    </w:p>
    <w:p w:rsidR="00830DA9" w:rsidRPr="0050035B" w:rsidRDefault="00830DA9" w:rsidP="0016640B">
      <w:pPr>
        <w:spacing w:line="360" w:lineRule="auto"/>
        <w:ind w:firstLine="720"/>
        <w:jc w:val="both"/>
        <w:rPr>
          <w:rFonts w:ascii="Century Gothic" w:hAnsi="Century Gothic"/>
          <w:lang w:val="es-MX"/>
        </w:rPr>
      </w:pPr>
    </w:p>
    <w:p w:rsidR="00EA4D20" w:rsidRPr="00830DA9" w:rsidRDefault="00EA4D20" w:rsidP="00830DA9">
      <w:pPr>
        <w:spacing w:line="360" w:lineRule="auto"/>
        <w:rPr>
          <w:rFonts w:ascii="Century Gothic" w:hAnsi="Century Gothic"/>
          <w:b/>
          <w:lang w:val="es-MX"/>
        </w:rPr>
      </w:pPr>
      <w:r w:rsidRPr="0050035B">
        <w:rPr>
          <w:rFonts w:ascii="Century Gothic" w:hAnsi="Century Gothic"/>
          <w:b/>
          <w:lang w:val="es-MX"/>
        </w:rPr>
        <w:t xml:space="preserve">2.1.1. </w:t>
      </w:r>
      <w:r w:rsidR="00830DA9">
        <w:rPr>
          <w:rFonts w:ascii="Century Gothic" w:hAnsi="Century Gothic"/>
          <w:b/>
          <w:lang w:val="es-MX"/>
        </w:rPr>
        <w:t>Entorno Económico Internacional</w:t>
      </w:r>
    </w:p>
    <w:p w:rsidR="002A47AC" w:rsidRPr="0050035B" w:rsidRDefault="00830DA9" w:rsidP="00B9107D">
      <w:pPr>
        <w:spacing w:line="360" w:lineRule="auto"/>
        <w:jc w:val="both"/>
        <w:rPr>
          <w:rFonts w:ascii="Century Gothic" w:hAnsi="Century Gothic"/>
          <w:lang w:val="es-MX"/>
        </w:rPr>
      </w:pPr>
      <w:r>
        <w:rPr>
          <w:rFonts w:ascii="Century Gothic" w:hAnsi="Century Gothic"/>
          <w:lang w:val="es-MX"/>
        </w:rPr>
        <w:t>T</w:t>
      </w:r>
      <w:r w:rsidR="00C906C5" w:rsidRPr="0050035B">
        <w:rPr>
          <w:rFonts w:ascii="Century Gothic" w:hAnsi="Century Gothic"/>
          <w:lang w:val="es-MX"/>
        </w:rPr>
        <w:t>ras u</w:t>
      </w:r>
      <w:r w:rsidR="00D17CF9">
        <w:rPr>
          <w:rFonts w:ascii="Century Gothic" w:hAnsi="Century Gothic"/>
          <w:lang w:val="es-MX"/>
        </w:rPr>
        <w:t xml:space="preserve">na contracción de la economía </w:t>
      </w:r>
      <w:r w:rsidR="00C906C5" w:rsidRPr="0050035B">
        <w:rPr>
          <w:rFonts w:ascii="Century Gothic" w:hAnsi="Century Gothic"/>
          <w:lang w:val="es-MX"/>
        </w:rPr>
        <w:t>global de 3.2% en 2020, el Fondo Monetario Internacional (FMI) estima un crecimiento del Producto In</w:t>
      </w:r>
      <w:r>
        <w:rPr>
          <w:rFonts w:ascii="Century Gothic" w:hAnsi="Century Gothic"/>
          <w:lang w:val="es-MX"/>
        </w:rPr>
        <w:t>terno Bruto (PIB) mundial de 6</w:t>
      </w:r>
      <w:r w:rsidR="00C906C5" w:rsidRPr="0050035B">
        <w:rPr>
          <w:rFonts w:ascii="Century Gothic" w:hAnsi="Century Gothic"/>
          <w:lang w:val="es-MX"/>
        </w:rPr>
        <w:t>% para 2021</w:t>
      </w:r>
      <w:r>
        <w:rPr>
          <w:rStyle w:val="Refdenotaalpie"/>
          <w:rFonts w:ascii="Century Gothic" w:hAnsi="Century Gothic"/>
          <w:lang w:val="es-MX"/>
        </w:rPr>
        <w:footnoteReference w:id="4"/>
      </w:r>
      <w:r w:rsidR="00C906C5" w:rsidRPr="0050035B">
        <w:rPr>
          <w:rFonts w:ascii="Century Gothic" w:hAnsi="Century Gothic"/>
          <w:lang w:val="es-MX"/>
        </w:rPr>
        <w:t>, cifra revisada al alza desde las tasas de 5.2</w:t>
      </w:r>
      <w:r w:rsidR="00B66409">
        <w:rPr>
          <w:rFonts w:ascii="Century Gothic" w:hAnsi="Century Gothic"/>
          <w:lang w:val="es-MX"/>
        </w:rPr>
        <w:t>%</w:t>
      </w:r>
      <w:r w:rsidR="00C906C5" w:rsidRPr="0050035B">
        <w:rPr>
          <w:rFonts w:ascii="Century Gothic" w:hAnsi="Century Gothic"/>
          <w:lang w:val="es-MX"/>
        </w:rPr>
        <w:t xml:space="preserve"> y 5.5% pronosticadas en octubre de 2020 y enero de este año, respectivamente. Asimismo, conforme las disrupciones observadas en las cadenas globales de valor como consecuencia de la pandemia se disipan, el organismo proyecta para </w:t>
      </w:r>
      <w:r w:rsidR="00D17CF9">
        <w:rPr>
          <w:rFonts w:ascii="Century Gothic" w:hAnsi="Century Gothic"/>
          <w:lang w:val="es-MX"/>
        </w:rPr>
        <w:t xml:space="preserve">cierre del </w:t>
      </w:r>
      <w:r w:rsidR="00C906C5" w:rsidRPr="0050035B">
        <w:rPr>
          <w:rFonts w:ascii="Century Gothic" w:hAnsi="Century Gothic"/>
          <w:lang w:val="es-MX"/>
        </w:rPr>
        <w:t>2021 un incremento del volumen del comercio global de 9.7% que considera un crecimiento incluso mayor para las economías emergentes y en desarrollo de 11.1%.</w:t>
      </w:r>
    </w:p>
    <w:p w:rsidR="00C906C5" w:rsidRPr="0050035B" w:rsidRDefault="00C906C5" w:rsidP="00C906C5">
      <w:pPr>
        <w:spacing w:line="360" w:lineRule="auto"/>
        <w:ind w:firstLine="720"/>
        <w:jc w:val="both"/>
        <w:rPr>
          <w:rFonts w:ascii="Century Gothic" w:hAnsi="Century Gothic"/>
          <w:lang w:val="es-MX"/>
        </w:rPr>
      </w:pPr>
    </w:p>
    <w:p w:rsidR="00C906C5" w:rsidRPr="0050035B" w:rsidRDefault="00C906C5" w:rsidP="00C906C5">
      <w:pPr>
        <w:spacing w:line="360" w:lineRule="auto"/>
        <w:ind w:firstLine="720"/>
        <w:jc w:val="both"/>
        <w:rPr>
          <w:rFonts w:ascii="Century Gothic" w:hAnsi="Century Gothic"/>
          <w:lang w:val="es-MX"/>
        </w:rPr>
      </w:pPr>
      <w:r w:rsidRPr="0050035B">
        <w:rPr>
          <w:rFonts w:ascii="Century Gothic" w:hAnsi="Century Gothic"/>
          <w:lang w:val="es-MX"/>
        </w:rPr>
        <w:t>En este contexto, el FMI, en su Reporte de Perspectivas Económicas de julio de 2021, revisó al alza la estimación de crecimiento para las economías avanzadas de 5.1</w:t>
      </w:r>
      <w:r w:rsidR="00B66409">
        <w:rPr>
          <w:rFonts w:ascii="Century Gothic" w:hAnsi="Century Gothic"/>
          <w:lang w:val="es-MX"/>
        </w:rPr>
        <w:t>%</w:t>
      </w:r>
      <w:r w:rsidRPr="0050035B">
        <w:rPr>
          <w:rFonts w:ascii="Century Gothic" w:hAnsi="Century Gothic"/>
          <w:lang w:val="es-MX"/>
        </w:rPr>
        <w:t xml:space="preserve"> a 5.6% durante 2021, pero redujo su proyección de crecimiento para las economías emergentes de 6.7 a 6.3% en este mismo año. La </w:t>
      </w:r>
      <w:r w:rsidR="00B66409" w:rsidRPr="00B66409">
        <w:rPr>
          <w:rFonts w:ascii="Century Gothic" w:hAnsi="Century Gothic"/>
          <w:lang w:val="es-MX"/>
        </w:rPr>
        <w:t>Organización para la Cooperación y el Desarrollo Económicos</w:t>
      </w:r>
      <w:r w:rsidR="00B66409">
        <w:rPr>
          <w:rFonts w:ascii="Century Gothic" w:hAnsi="Century Gothic"/>
          <w:lang w:val="es-MX"/>
        </w:rPr>
        <w:t xml:space="preserve"> (</w:t>
      </w:r>
      <w:r w:rsidRPr="0050035B">
        <w:rPr>
          <w:rFonts w:ascii="Century Gothic" w:hAnsi="Century Gothic"/>
          <w:lang w:val="es-MX"/>
        </w:rPr>
        <w:t>OCDE</w:t>
      </w:r>
      <w:r w:rsidR="00B66409">
        <w:rPr>
          <w:rFonts w:ascii="Century Gothic" w:hAnsi="Century Gothic"/>
          <w:lang w:val="es-MX"/>
        </w:rPr>
        <w:t>)</w:t>
      </w:r>
      <w:r w:rsidRPr="0050035B">
        <w:rPr>
          <w:rFonts w:ascii="Century Gothic" w:hAnsi="Century Gothic"/>
          <w:lang w:val="es-MX"/>
        </w:rPr>
        <w:t>, por su parte, estima que la totalidad de las economías avanzadas habrán recuperado su nivel de PIB per cápita previo a la pandemia en 2023, mientras que espera que el total de las economías emergentes lo hagan hasta 2026.</w:t>
      </w:r>
    </w:p>
    <w:p w:rsidR="008D7D5A" w:rsidRDefault="008D7D5A">
      <w:pPr>
        <w:rPr>
          <w:rFonts w:ascii="Century Gothic" w:hAnsi="Century Gothic"/>
          <w:b/>
          <w:sz w:val="22"/>
          <w:szCs w:val="22"/>
          <w:highlight w:val="yellow"/>
          <w:lang w:val="es-MX"/>
        </w:rPr>
      </w:pPr>
      <w:r>
        <w:rPr>
          <w:rFonts w:ascii="Century Gothic" w:hAnsi="Century Gothic"/>
          <w:b/>
          <w:sz w:val="22"/>
          <w:szCs w:val="22"/>
          <w:highlight w:val="yellow"/>
          <w:lang w:val="es-MX"/>
        </w:rPr>
        <w:br w:type="page"/>
      </w:r>
    </w:p>
    <w:p w:rsidR="00C906C5" w:rsidRPr="0050035B" w:rsidRDefault="00C906C5">
      <w:pPr>
        <w:rPr>
          <w:rFonts w:ascii="Century Gothic" w:hAnsi="Century Gothic"/>
          <w:b/>
          <w:sz w:val="22"/>
          <w:szCs w:val="22"/>
          <w:highlight w:val="yellow"/>
          <w:lang w:val="es-MX"/>
        </w:rPr>
      </w:pPr>
    </w:p>
    <w:p w:rsidR="00B9107D" w:rsidRPr="00B9107D" w:rsidRDefault="00C906C5" w:rsidP="00B9107D">
      <w:pPr>
        <w:ind w:firstLine="720"/>
        <w:jc w:val="center"/>
        <w:rPr>
          <w:rFonts w:ascii="Century Gothic" w:hAnsi="Century Gothic"/>
          <w:sz w:val="22"/>
          <w:szCs w:val="22"/>
          <w:lang w:val="es-MX"/>
        </w:rPr>
      </w:pPr>
      <w:r w:rsidRPr="00B9107D">
        <w:rPr>
          <w:rFonts w:ascii="Century Gothic" w:hAnsi="Century Gothic"/>
          <w:b/>
          <w:sz w:val="22"/>
          <w:szCs w:val="22"/>
          <w:lang w:val="es-MX"/>
        </w:rPr>
        <w:t>Gráfica 2.</w:t>
      </w:r>
      <w:r w:rsidR="00B9107D" w:rsidRPr="00B9107D">
        <w:rPr>
          <w:rFonts w:ascii="Century Gothic" w:hAnsi="Century Gothic"/>
          <w:b/>
          <w:sz w:val="22"/>
          <w:szCs w:val="22"/>
          <w:lang w:val="es-MX"/>
        </w:rPr>
        <w:t>1</w:t>
      </w:r>
      <w:r w:rsidRPr="00B9107D">
        <w:rPr>
          <w:rFonts w:ascii="Century Gothic" w:hAnsi="Century Gothic"/>
          <w:b/>
          <w:sz w:val="22"/>
          <w:szCs w:val="22"/>
          <w:lang w:val="es-MX"/>
        </w:rPr>
        <w:t>.</w:t>
      </w:r>
      <w:r w:rsidRPr="00B9107D">
        <w:rPr>
          <w:rFonts w:ascii="Century Gothic" w:hAnsi="Century Gothic"/>
          <w:sz w:val="22"/>
          <w:szCs w:val="22"/>
          <w:lang w:val="es-MX"/>
        </w:rPr>
        <w:t xml:space="preserve"> Esquema de vacunación en el Mundo</w:t>
      </w:r>
    </w:p>
    <w:p w:rsidR="00C906C5" w:rsidRPr="0050035B" w:rsidRDefault="00B9107D" w:rsidP="00B9107D">
      <w:pPr>
        <w:ind w:firstLine="720"/>
        <w:jc w:val="center"/>
        <w:rPr>
          <w:rFonts w:ascii="Century Gothic" w:hAnsi="Century Gothic"/>
          <w:sz w:val="22"/>
          <w:szCs w:val="22"/>
          <w:lang w:val="es-MX"/>
        </w:rPr>
      </w:pPr>
      <w:r w:rsidRPr="00B9107D">
        <w:rPr>
          <w:rFonts w:ascii="Century Gothic" w:hAnsi="Century Gothic"/>
          <w:sz w:val="22"/>
          <w:szCs w:val="22"/>
          <w:lang w:val="es-MX"/>
        </w:rPr>
        <w:t>(Corte al 3 de septiembre).</w:t>
      </w:r>
      <w:r w:rsidR="00C906C5" w:rsidRPr="0050035B">
        <w:rPr>
          <w:rFonts w:ascii="Century Gothic" w:hAnsi="Century Gothic"/>
          <w:sz w:val="22"/>
          <w:szCs w:val="22"/>
          <w:lang w:val="es-MX"/>
        </w:rPr>
        <w:t xml:space="preserve"> </w:t>
      </w:r>
    </w:p>
    <w:p w:rsidR="00C906C5" w:rsidRPr="0050035B" w:rsidRDefault="00B9107D" w:rsidP="00C906C5">
      <w:pPr>
        <w:spacing w:line="360" w:lineRule="auto"/>
        <w:ind w:firstLine="720"/>
        <w:jc w:val="both"/>
        <w:rPr>
          <w:rFonts w:ascii="Century Gothic" w:hAnsi="Century Gothic"/>
          <w:lang w:val="es-MX"/>
        </w:rPr>
      </w:pPr>
      <w:r w:rsidRPr="0050035B">
        <w:rPr>
          <w:noProof/>
          <w:lang w:val="es-MX" w:eastAsia="es-MX"/>
        </w:rPr>
        <w:drawing>
          <wp:anchor distT="0" distB="0" distL="114300" distR="114300" simplePos="0" relativeHeight="251730944" behindDoc="1" locked="0" layoutInCell="1" allowOverlap="1" wp14:anchorId="02543FCA" wp14:editId="71DEC94B">
            <wp:simplePos x="0" y="0"/>
            <wp:positionH relativeFrom="column">
              <wp:posOffset>1297420</wp:posOffset>
            </wp:positionH>
            <wp:positionV relativeFrom="paragraph">
              <wp:posOffset>15991</wp:posOffset>
            </wp:positionV>
            <wp:extent cx="3600450" cy="3086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00450" cy="3086100"/>
                    </a:xfrm>
                    <a:prstGeom prst="rect">
                      <a:avLst/>
                    </a:prstGeom>
                  </pic:spPr>
                </pic:pic>
              </a:graphicData>
            </a:graphic>
          </wp:anchor>
        </w:drawing>
      </w:r>
    </w:p>
    <w:p w:rsidR="00C906C5" w:rsidRPr="0050035B" w:rsidRDefault="00C906C5" w:rsidP="00C906C5">
      <w:pPr>
        <w:spacing w:line="360" w:lineRule="auto"/>
        <w:ind w:firstLine="720"/>
        <w:jc w:val="both"/>
        <w:rPr>
          <w:rFonts w:ascii="Century Gothic" w:hAnsi="Century Gothic"/>
          <w:sz w:val="20"/>
          <w:lang w:val="es-MX"/>
        </w:rPr>
      </w:pPr>
    </w:p>
    <w:p w:rsidR="00C906C5" w:rsidRPr="0050035B" w:rsidRDefault="00C906C5" w:rsidP="00C906C5">
      <w:pPr>
        <w:spacing w:line="360" w:lineRule="auto"/>
        <w:ind w:firstLine="720"/>
        <w:jc w:val="both"/>
        <w:rPr>
          <w:rFonts w:ascii="Century Gothic" w:hAnsi="Century Gothic"/>
          <w:lang w:val="es-MX"/>
        </w:rPr>
      </w:pPr>
    </w:p>
    <w:p w:rsidR="00C906C5" w:rsidRPr="0050035B" w:rsidRDefault="00C906C5" w:rsidP="00C906C5">
      <w:pPr>
        <w:spacing w:line="360" w:lineRule="auto"/>
        <w:ind w:firstLine="720"/>
        <w:jc w:val="both"/>
        <w:rPr>
          <w:rFonts w:ascii="Century Gothic" w:hAnsi="Century Gothic"/>
          <w:lang w:val="es-MX"/>
        </w:rPr>
      </w:pPr>
    </w:p>
    <w:p w:rsidR="00C906C5" w:rsidRPr="0050035B" w:rsidRDefault="00C906C5" w:rsidP="00C906C5">
      <w:pPr>
        <w:spacing w:line="360" w:lineRule="auto"/>
        <w:ind w:firstLine="720"/>
        <w:jc w:val="both"/>
        <w:rPr>
          <w:rFonts w:ascii="Century Gothic" w:hAnsi="Century Gothic"/>
          <w:sz w:val="14"/>
          <w:lang w:val="es-MX"/>
        </w:rPr>
      </w:pPr>
    </w:p>
    <w:p w:rsidR="00C906C5" w:rsidRPr="0050035B" w:rsidRDefault="00C906C5" w:rsidP="00C906C5">
      <w:pPr>
        <w:spacing w:line="360" w:lineRule="auto"/>
        <w:ind w:firstLine="720"/>
        <w:jc w:val="both"/>
        <w:rPr>
          <w:rFonts w:ascii="Century Gothic" w:hAnsi="Century Gothic"/>
          <w:sz w:val="16"/>
          <w:lang w:val="es-MX"/>
        </w:rPr>
      </w:pPr>
    </w:p>
    <w:p w:rsidR="00C906C5" w:rsidRPr="0050035B" w:rsidRDefault="00C906C5" w:rsidP="00C906C5">
      <w:pPr>
        <w:ind w:left="1560" w:right="1585"/>
        <w:jc w:val="both"/>
        <w:rPr>
          <w:rFonts w:ascii="Century Gothic" w:hAnsi="Century Gothic"/>
          <w:b/>
          <w:bCs/>
          <w:sz w:val="20"/>
          <w:lang w:val="es-MX"/>
        </w:rPr>
      </w:pPr>
    </w:p>
    <w:p w:rsidR="00C906C5" w:rsidRPr="0050035B" w:rsidRDefault="00C906C5" w:rsidP="00C906C5">
      <w:pPr>
        <w:ind w:left="1560" w:right="1585"/>
        <w:jc w:val="both"/>
        <w:rPr>
          <w:rFonts w:ascii="Century Gothic" w:hAnsi="Century Gothic"/>
          <w:b/>
          <w:bCs/>
          <w:sz w:val="20"/>
          <w:lang w:val="es-MX"/>
        </w:rPr>
      </w:pPr>
    </w:p>
    <w:p w:rsidR="00C906C5" w:rsidRPr="0050035B" w:rsidRDefault="00C906C5" w:rsidP="00C906C5">
      <w:pPr>
        <w:ind w:left="1560" w:right="1585"/>
        <w:jc w:val="both"/>
        <w:rPr>
          <w:rFonts w:ascii="Century Gothic" w:hAnsi="Century Gothic"/>
          <w:b/>
          <w:bCs/>
          <w:sz w:val="20"/>
          <w:lang w:val="es-MX"/>
        </w:rPr>
      </w:pPr>
    </w:p>
    <w:p w:rsidR="00C906C5" w:rsidRPr="0050035B" w:rsidRDefault="00C906C5" w:rsidP="00C906C5">
      <w:pPr>
        <w:ind w:left="1560" w:right="1585"/>
        <w:jc w:val="both"/>
        <w:rPr>
          <w:rFonts w:ascii="Century Gothic" w:hAnsi="Century Gothic"/>
          <w:b/>
          <w:bCs/>
          <w:sz w:val="20"/>
          <w:lang w:val="es-MX"/>
        </w:rPr>
      </w:pPr>
    </w:p>
    <w:p w:rsidR="00C906C5" w:rsidRDefault="00C906C5" w:rsidP="00C906C5">
      <w:pPr>
        <w:ind w:left="1560" w:right="1585"/>
        <w:jc w:val="both"/>
        <w:rPr>
          <w:rFonts w:ascii="Century Gothic" w:hAnsi="Century Gothic"/>
          <w:b/>
          <w:bCs/>
          <w:sz w:val="20"/>
          <w:lang w:val="es-MX"/>
        </w:rPr>
      </w:pPr>
    </w:p>
    <w:p w:rsidR="00B9107D" w:rsidRPr="00B9107D" w:rsidRDefault="00B9107D" w:rsidP="00C906C5">
      <w:pPr>
        <w:ind w:left="1560" w:right="1585"/>
        <w:jc w:val="both"/>
        <w:rPr>
          <w:rFonts w:ascii="Century Gothic" w:hAnsi="Century Gothic"/>
          <w:b/>
          <w:bCs/>
          <w:sz w:val="10"/>
          <w:szCs w:val="14"/>
          <w:lang w:val="es-MX"/>
        </w:rPr>
      </w:pPr>
    </w:p>
    <w:p w:rsidR="00C906C5" w:rsidRPr="0050035B" w:rsidRDefault="00C906C5" w:rsidP="00C906C5">
      <w:pPr>
        <w:ind w:left="1560" w:right="1585"/>
        <w:jc w:val="both"/>
        <w:rPr>
          <w:rFonts w:ascii="Century Gothic" w:hAnsi="Century Gothic"/>
          <w:b/>
          <w:bCs/>
          <w:sz w:val="20"/>
          <w:lang w:val="es-MX"/>
        </w:rPr>
      </w:pPr>
    </w:p>
    <w:p w:rsidR="00C906C5" w:rsidRPr="0050035B" w:rsidRDefault="00C906C5" w:rsidP="00C906C5">
      <w:pPr>
        <w:ind w:left="1560" w:right="1585"/>
        <w:jc w:val="both"/>
        <w:rPr>
          <w:rFonts w:ascii="Century Gothic" w:hAnsi="Century Gothic"/>
          <w:b/>
          <w:bCs/>
          <w:sz w:val="20"/>
          <w:lang w:val="es-MX"/>
        </w:rPr>
      </w:pPr>
    </w:p>
    <w:p w:rsidR="00C906C5" w:rsidRPr="0050035B" w:rsidRDefault="00C906C5" w:rsidP="00C906C5">
      <w:pPr>
        <w:ind w:left="1560" w:right="1585"/>
        <w:jc w:val="both"/>
        <w:rPr>
          <w:rFonts w:ascii="Century Gothic" w:hAnsi="Century Gothic"/>
          <w:b/>
          <w:bCs/>
          <w:sz w:val="20"/>
          <w:lang w:val="es-MX"/>
        </w:rPr>
      </w:pPr>
    </w:p>
    <w:p w:rsidR="00C906C5" w:rsidRPr="0050035B" w:rsidRDefault="00C906C5" w:rsidP="00C906C5">
      <w:pPr>
        <w:ind w:left="1560" w:right="1585"/>
        <w:jc w:val="both"/>
        <w:rPr>
          <w:rFonts w:ascii="Century Gothic" w:hAnsi="Century Gothic"/>
          <w:b/>
          <w:bCs/>
          <w:sz w:val="20"/>
          <w:lang w:val="es-MX"/>
        </w:rPr>
      </w:pPr>
    </w:p>
    <w:p w:rsidR="00C906C5" w:rsidRPr="0050035B" w:rsidRDefault="00C906C5" w:rsidP="00C906C5">
      <w:pPr>
        <w:ind w:left="1560" w:right="1585"/>
        <w:jc w:val="both"/>
        <w:rPr>
          <w:rFonts w:ascii="Century Gothic" w:hAnsi="Century Gothic"/>
          <w:b/>
          <w:bCs/>
          <w:sz w:val="20"/>
          <w:lang w:val="es-MX"/>
        </w:rPr>
      </w:pPr>
    </w:p>
    <w:p w:rsidR="00C906C5" w:rsidRPr="0050035B" w:rsidRDefault="00C906C5" w:rsidP="00C906C5">
      <w:pPr>
        <w:ind w:left="2268" w:right="1585"/>
        <w:jc w:val="both"/>
        <w:rPr>
          <w:rFonts w:ascii="Century Gothic" w:hAnsi="Century Gothic"/>
          <w:sz w:val="20"/>
          <w:lang w:val="es-MX"/>
        </w:rPr>
      </w:pPr>
      <w:r w:rsidRPr="0050035B">
        <w:rPr>
          <w:rFonts w:ascii="Century Gothic" w:hAnsi="Century Gothic"/>
          <w:b/>
          <w:bCs/>
          <w:sz w:val="20"/>
          <w:lang w:val="es-MX"/>
        </w:rPr>
        <w:t>Fuente</w:t>
      </w:r>
      <w:r w:rsidRPr="0050035B">
        <w:rPr>
          <w:rFonts w:ascii="Century Gothic" w:hAnsi="Century Gothic"/>
          <w:sz w:val="20"/>
          <w:lang w:val="es-MX"/>
        </w:rPr>
        <w:t>: Criterios Generales de Política Económica para la Iniciativa de Ley de Ingresos y el Proyecto de Presupuesto de Egresos de la Federación, correspondientes al ejercicio fiscal 2022.</w:t>
      </w:r>
    </w:p>
    <w:p w:rsidR="002A47AC" w:rsidRPr="0050035B" w:rsidRDefault="002A47AC" w:rsidP="00BF5C57">
      <w:pPr>
        <w:spacing w:line="360" w:lineRule="auto"/>
        <w:ind w:firstLine="720"/>
        <w:jc w:val="both"/>
        <w:rPr>
          <w:rFonts w:ascii="Century Gothic" w:hAnsi="Century Gothic"/>
          <w:lang w:val="es-MX"/>
        </w:rPr>
      </w:pPr>
    </w:p>
    <w:p w:rsidR="00C827AF" w:rsidRPr="0050035B" w:rsidRDefault="0016640B" w:rsidP="0016640B">
      <w:pPr>
        <w:tabs>
          <w:tab w:val="left" w:pos="2835"/>
        </w:tabs>
        <w:spacing w:line="360" w:lineRule="auto"/>
        <w:ind w:firstLine="720"/>
        <w:jc w:val="both"/>
        <w:rPr>
          <w:rFonts w:ascii="Century Gothic" w:hAnsi="Century Gothic"/>
          <w:lang w:val="es-MX"/>
        </w:rPr>
      </w:pPr>
      <w:r w:rsidRPr="0050035B">
        <w:rPr>
          <w:lang w:val="es-MX"/>
        </w:rPr>
        <w:t xml:space="preserve"> </w:t>
      </w:r>
      <w:r w:rsidRPr="0050035B">
        <w:rPr>
          <w:rFonts w:ascii="Century Gothic" w:hAnsi="Century Gothic"/>
          <w:lang w:val="es-MX"/>
        </w:rPr>
        <w:t xml:space="preserve">Entre los riesgos al alza para el crecimiento y el restablecimiento de la actividad económica, destaca el efecto positivo en la economía mundial de una mayor cooperación internacional, la cual permitiría alcanzar la inmunidad de rebaño en el mundo antes de lo anticipando, previniendo la formación de nuevas variantes del virus, así como nuevas olas de contagio. En línea con lo anterior, nuestro país ha realizado diversos llamados a la comunidad internacional a través de distintos mecanismos multilaterales, como la </w:t>
      </w:r>
      <w:r w:rsidR="00B66409">
        <w:rPr>
          <w:rFonts w:ascii="Century Gothic" w:hAnsi="Century Gothic"/>
          <w:lang w:val="es-MX"/>
        </w:rPr>
        <w:t>Organización de las Naciones Unidades (</w:t>
      </w:r>
      <w:r w:rsidRPr="0050035B">
        <w:rPr>
          <w:rFonts w:ascii="Century Gothic" w:hAnsi="Century Gothic"/>
          <w:lang w:val="es-MX"/>
        </w:rPr>
        <w:t>ONU</w:t>
      </w:r>
      <w:r w:rsidR="00B66409">
        <w:rPr>
          <w:rFonts w:ascii="Century Gothic" w:hAnsi="Century Gothic"/>
          <w:lang w:val="es-MX"/>
        </w:rPr>
        <w:t>)</w:t>
      </w:r>
      <w:r w:rsidRPr="0050035B">
        <w:rPr>
          <w:rFonts w:ascii="Century Gothic" w:hAnsi="Century Gothic"/>
          <w:lang w:val="es-MX"/>
        </w:rPr>
        <w:t xml:space="preserve"> y el </w:t>
      </w:r>
      <w:r w:rsidR="00790E37">
        <w:rPr>
          <w:rFonts w:ascii="Century Gothic" w:hAnsi="Century Gothic"/>
          <w:lang w:val="es-MX"/>
        </w:rPr>
        <w:t>Grupo de los 20 (</w:t>
      </w:r>
      <w:r w:rsidRPr="0050035B">
        <w:rPr>
          <w:rFonts w:ascii="Century Gothic" w:hAnsi="Century Gothic"/>
          <w:lang w:val="es-MX"/>
        </w:rPr>
        <w:t>G-20</w:t>
      </w:r>
      <w:r w:rsidR="00790E37">
        <w:rPr>
          <w:rFonts w:ascii="Century Gothic" w:hAnsi="Century Gothic"/>
          <w:lang w:val="es-MX"/>
        </w:rPr>
        <w:t>)</w:t>
      </w:r>
      <w:r w:rsidRPr="0050035B">
        <w:rPr>
          <w:rFonts w:ascii="Century Gothic" w:hAnsi="Century Gothic"/>
          <w:lang w:val="es-MX"/>
        </w:rPr>
        <w:t>, con el propósito de promover una distribución más rápida y equitativa de las vacunas. Resulta primordial la cooperación internacional para garantizar el acceso equitativo a las vacunas y evitar así una profundización de las desigualdades regionales.</w:t>
      </w:r>
    </w:p>
    <w:p w:rsidR="0016640B" w:rsidRDefault="0016640B" w:rsidP="0016640B">
      <w:pPr>
        <w:tabs>
          <w:tab w:val="left" w:pos="2835"/>
        </w:tabs>
        <w:spacing w:line="360" w:lineRule="auto"/>
        <w:ind w:firstLine="720"/>
        <w:jc w:val="both"/>
        <w:rPr>
          <w:rFonts w:ascii="Century Gothic" w:hAnsi="Century Gothic"/>
          <w:lang w:val="es-MX"/>
        </w:rPr>
      </w:pPr>
      <w:r w:rsidRPr="0050035B">
        <w:rPr>
          <w:rFonts w:ascii="Century Gothic" w:hAnsi="Century Gothic"/>
          <w:lang w:val="es-MX"/>
        </w:rPr>
        <w:lastRenderedPageBreak/>
        <w:t xml:space="preserve">Por otro lado, entre los riesgos a la baja para el crecimiento se encuentra la sostenibilidad de la deuda de las economías emergentes. Particularmente, de aquellos países que implementaron amplios paquetes de estímulo fiscal en 2020 y que podrían enfrentar presiones en sus finanzas públicas en caso de presentarse un endurecimiento de las condiciones de los mercados financieros, principalmente a través de los canales de tipo de cambio y costo </w:t>
      </w:r>
      <w:r w:rsidRPr="007130D6">
        <w:rPr>
          <w:rFonts w:ascii="Century Gothic" w:hAnsi="Century Gothic"/>
          <w:lang w:val="es-MX"/>
        </w:rPr>
        <w:t>financiero</w:t>
      </w:r>
      <w:r w:rsidR="00790E37">
        <w:rPr>
          <w:rFonts w:ascii="Century Gothic" w:hAnsi="Century Gothic"/>
          <w:lang w:val="es-MX"/>
        </w:rPr>
        <w:t xml:space="preserve"> (Véase gráfica 2.2</w:t>
      </w:r>
      <w:r w:rsidRPr="007130D6">
        <w:rPr>
          <w:rFonts w:ascii="Century Gothic" w:hAnsi="Century Gothic"/>
          <w:lang w:val="es-MX"/>
        </w:rPr>
        <w:t>.</w:t>
      </w:r>
      <w:r w:rsidR="00790E37">
        <w:rPr>
          <w:rFonts w:ascii="Century Gothic" w:hAnsi="Century Gothic"/>
          <w:lang w:val="es-MX"/>
        </w:rPr>
        <w:t>).</w:t>
      </w:r>
    </w:p>
    <w:p w:rsidR="00790E37" w:rsidRPr="007130D6" w:rsidRDefault="00790E37" w:rsidP="0016640B">
      <w:pPr>
        <w:tabs>
          <w:tab w:val="left" w:pos="2835"/>
        </w:tabs>
        <w:spacing w:line="360" w:lineRule="auto"/>
        <w:ind w:firstLine="720"/>
        <w:jc w:val="both"/>
        <w:rPr>
          <w:rFonts w:ascii="Century Gothic" w:hAnsi="Century Gothic"/>
          <w:lang w:val="es-MX"/>
        </w:rPr>
      </w:pPr>
    </w:p>
    <w:p w:rsidR="0016640B" w:rsidRPr="0050035B" w:rsidRDefault="007130D6" w:rsidP="0016640B">
      <w:pPr>
        <w:spacing w:line="360" w:lineRule="auto"/>
        <w:ind w:firstLine="720"/>
        <w:jc w:val="center"/>
        <w:rPr>
          <w:rFonts w:ascii="Century Gothic" w:hAnsi="Century Gothic"/>
          <w:sz w:val="22"/>
          <w:szCs w:val="22"/>
          <w:lang w:val="es-MX"/>
        </w:rPr>
      </w:pPr>
      <w:r w:rsidRPr="007130D6">
        <w:rPr>
          <w:noProof/>
          <w:lang w:val="es-MX" w:eastAsia="es-MX"/>
        </w:rPr>
        <w:drawing>
          <wp:anchor distT="0" distB="0" distL="114300" distR="114300" simplePos="0" relativeHeight="251731968" behindDoc="1" locked="0" layoutInCell="1" allowOverlap="1" wp14:anchorId="20E6C01B" wp14:editId="5CC99438">
            <wp:simplePos x="0" y="0"/>
            <wp:positionH relativeFrom="column">
              <wp:posOffset>1259840</wp:posOffset>
            </wp:positionH>
            <wp:positionV relativeFrom="paragraph">
              <wp:posOffset>171565</wp:posOffset>
            </wp:positionV>
            <wp:extent cx="3400425" cy="3095625"/>
            <wp:effectExtent l="0" t="0" r="9525"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00425" cy="3095625"/>
                    </a:xfrm>
                    <a:prstGeom prst="rect">
                      <a:avLst/>
                    </a:prstGeom>
                  </pic:spPr>
                </pic:pic>
              </a:graphicData>
            </a:graphic>
          </wp:anchor>
        </w:drawing>
      </w:r>
      <w:r w:rsidR="0016640B" w:rsidRPr="007130D6">
        <w:rPr>
          <w:rFonts w:ascii="Century Gothic" w:hAnsi="Century Gothic"/>
          <w:b/>
          <w:sz w:val="22"/>
          <w:szCs w:val="22"/>
          <w:lang w:val="es-MX"/>
        </w:rPr>
        <w:t>Gráfica 2.</w:t>
      </w:r>
      <w:r w:rsidR="00B9107D" w:rsidRPr="007130D6">
        <w:rPr>
          <w:rFonts w:ascii="Century Gothic" w:hAnsi="Century Gothic"/>
          <w:b/>
          <w:sz w:val="22"/>
          <w:szCs w:val="22"/>
          <w:lang w:val="es-MX"/>
        </w:rPr>
        <w:t>2.</w:t>
      </w:r>
      <w:r w:rsidR="0016640B" w:rsidRPr="007130D6">
        <w:rPr>
          <w:rFonts w:ascii="Century Gothic" w:hAnsi="Century Gothic"/>
          <w:sz w:val="22"/>
          <w:szCs w:val="22"/>
          <w:lang w:val="es-MX"/>
        </w:rPr>
        <w:t xml:space="preserve"> </w:t>
      </w:r>
      <w:r w:rsidRPr="007130D6">
        <w:rPr>
          <w:rFonts w:ascii="Century Gothic" w:hAnsi="Century Gothic"/>
          <w:sz w:val="22"/>
          <w:szCs w:val="22"/>
          <w:lang w:val="es-MX"/>
        </w:rPr>
        <w:t>Tasa de Interés de Referencia, 2019-2021</w:t>
      </w:r>
      <w:r w:rsidR="0016640B" w:rsidRPr="007130D6">
        <w:rPr>
          <w:rFonts w:ascii="Century Gothic" w:hAnsi="Century Gothic"/>
          <w:sz w:val="22"/>
          <w:szCs w:val="22"/>
          <w:lang w:val="es-MX"/>
        </w:rPr>
        <w:t>.</w:t>
      </w:r>
      <w:r w:rsidR="0016640B" w:rsidRPr="0050035B">
        <w:rPr>
          <w:rFonts w:ascii="Century Gothic" w:hAnsi="Century Gothic"/>
          <w:sz w:val="22"/>
          <w:szCs w:val="22"/>
          <w:lang w:val="es-MX"/>
        </w:rPr>
        <w:t xml:space="preserve"> </w:t>
      </w:r>
    </w:p>
    <w:p w:rsidR="0016640B" w:rsidRPr="0050035B" w:rsidRDefault="0016640B" w:rsidP="0016640B">
      <w:pPr>
        <w:spacing w:line="360" w:lineRule="auto"/>
        <w:ind w:firstLine="720"/>
        <w:jc w:val="both"/>
        <w:rPr>
          <w:rFonts w:ascii="Century Gothic" w:hAnsi="Century Gothic"/>
          <w:lang w:val="es-MX"/>
        </w:rPr>
      </w:pPr>
    </w:p>
    <w:p w:rsidR="0016640B" w:rsidRPr="0050035B" w:rsidRDefault="0016640B" w:rsidP="0016640B">
      <w:pPr>
        <w:spacing w:line="360" w:lineRule="auto"/>
        <w:ind w:firstLine="720"/>
        <w:jc w:val="both"/>
        <w:rPr>
          <w:rFonts w:ascii="Century Gothic" w:hAnsi="Century Gothic"/>
          <w:sz w:val="20"/>
          <w:lang w:val="es-MX"/>
        </w:rPr>
      </w:pPr>
    </w:p>
    <w:p w:rsidR="0016640B" w:rsidRPr="0050035B" w:rsidRDefault="0016640B" w:rsidP="0016640B">
      <w:pPr>
        <w:spacing w:line="360" w:lineRule="auto"/>
        <w:ind w:firstLine="720"/>
        <w:jc w:val="both"/>
        <w:rPr>
          <w:rFonts w:ascii="Century Gothic" w:hAnsi="Century Gothic"/>
          <w:lang w:val="es-MX"/>
        </w:rPr>
      </w:pPr>
    </w:p>
    <w:p w:rsidR="0016640B" w:rsidRPr="0050035B" w:rsidRDefault="0016640B" w:rsidP="0016640B">
      <w:pPr>
        <w:spacing w:line="360" w:lineRule="auto"/>
        <w:ind w:firstLine="720"/>
        <w:jc w:val="both"/>
        <w:rPr>
          <w:rFonts w:ascii="Century Gothic" w:hAnsi="Century Gothic"/>
          <w:lang w:val="es-MX"/>
        </w:rPr>
      </w:pPr>
    </w:p>
    <w:p w:rsidR="0016640B" w:rsidRPr="0050035B" w:rsidRDefault="0016640B" w:rsidP="0016640B">
      <w:pPr>
        <w:spacing w:line="360" w:lineRule="auto"/>
        <w:ind w:firstLine="720"/>
        <w:jc w:val="both"/>
        <w:rPr>
          <w:rFonts w:ascii="Century Gothic" w:hAnsi="Century Gothic"/>
          <w:sz w:val="14"/>
          <w:lang w:val="es-MX"/>
        </w:rPr>
      </w:pPr>
    </w:p>
    <w:p w:rsidR="0016640B" w:rsidRPr="0050035B" w:rsidRDefault="0016640B" w:rsidP="0016640B">
      <w:pPr>
        <w:spacing w:line="360" w:lineRule="auto"/>
        <w:ind w:firstLine="720"/>
        <w:jc w:val="both"/>
        <w:rPr>
          <w:rFonts w:ascii="Century Gothic" w:hAnsi="Century Gothic"/>
          <w:sz w:val="16"/>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2268" w:right="1585"/>
        <w:jc w:val="both"/>
        <w:rPr>
          <w:rFonts w:ascii="Century Gothic" w:hAnsi="Century Gothic"/>
          <w:sz w:val="20"/>
          <w:lang w:val="es-MX"/>
        </w:rPr>
      </w:pPr>
      <w:r w:rsidRPr="0050035B">
        <w:rPr>
          <w:rFonts w:ascii="Century Gothic" w:hAnsi="Century Gothic"/>
          <w:b/>
          <w:bCs/>
          <w:sz w:val="20"/>
          <w:lang w:val="es-MX"/>
        </w:rPr>
        <w:t>Fuente</w:t>
      </w:r>
      <w:r w:rsidRPr="0050035B">
        <w:rPr>
          <w:rFonts w:ascii="Century Gothic" w:hAnsi="Century Gothic"/>
          <w:sz w:val="20"/>
          <w:lang w:val="es-MX"/>
        </w:rPr>
        <w:t>: Criterios Generales de Política Económica para la Iniciativa de Ley de Ingresos y el Proyecto de Presupuesto de Egresos de la Federación, correspondientes al ejercicio fiscal 2022.</w:t>
      </w:r>
    </w:p>
    <w:p w:rsidR="0016640B" w:rsidRPr="0050035B" w:rsidRDefault="0016640B" w:rsidP="00C827AF">
      <w:pPr>
        <w:spacing w:line="360" w:lineRule="auto"/>
        <w:ind w:firstLine="720"/>
        <w:jc w:val="both"/>
        <w:rPr>
          <w:lang w:val="es-MX"/>
        </w:rPr>
      </w:pPr>
    </w:p>
    <w:p w:rsidR="0016640B" w:rsidRPr="0050035B" w:rsidRDefault="0016640B" w:rsidP="00C827AF">
      <w:pPr>
        <w:spacing w:line="360" w:lineRule="auto"/>
        <w:ind w:firstLine="720"/>
        <w:jc w:val="both"/>
        <w:rPr>
          <w:rFonts w:ascii="Century Gothic" w:hAnsi="Century Gothic"/>
          <w:lang w:val="es-MX"/>
        </w:rPr>
      </w:pPr>
      <w:r w:rsidRPr="0050035B">
        <w:rPr>
          <w:rFonts w:ascii="Century Gothic" w:hAnsi="Century Gothic"/>
          <w:lang w:val="es-MX"/>
        </w:rPr>
        <w:t xml:space="preserve">En cuanto a la economía real, en línea con la reactivación de las cadenas globales de valor, desde julio de 2020, el sector manufacturero recuperó el ritmo de crecimiento que registró previo a la pandemia, mientras que el sector servicios lo hizo hasta marzo de 2021 debido al mayor contacto social requerido por ciertas actividades terciarias. En particular, </w:t>
      </w:r>
      <w:r w:rsidRPr="0050035B">
        <w:rPr>
          <w:rFonts w:ascii="Century Gothic" w:hAnsi="Century Gothic"/>
          <w:lang w:val="es-MX"/>
        </w:rPr>
        <w:lastRenderedPageBreak/>
        <w:t>durante 2021, los PMI</w:t>
      </w:r>
      <w:r w:rsidRPr="0050035B">
        <w:rPr>
          <w:rStyle w:val="Refdenotaalpie"/>
          <w:rFonts w:ascii="Century Gothic" w:hAnsi="Century Gothic"/>
          <w:lang w:val="es-MX"/>
        </w:rPr>
        <w:footnoteReference w:id="5"/>
      </w:r>
      <w:r w:rsidRPr="0050035B">
        <w:rPr>
          <w:rFonts w:ascii="Century Gothic" w:hAnsi="Century Gothic"/>
          <w:lang w:val="es-MX"/>
        </w:rPr>
        <w:t xml:space="preserve"> globales, indicadores adelantados y de sentimiento de la actividad económica, han registrado crecimientos notables. El PMI manufacturero global creció de 53.8 a 55.4 puntos entre diciembre de 2020 y julio de 2021, mientras que el PMI de servicios global aumentó de 51.8 a 56.3 puntos durante el mismo periodo de tiempo, con cifras ajustadas por la estacionalidad. </w:t>
      </w:r>
    </w:p>
    <w:p w:rsidR="0016640B" w:rsidRPr="0050035B" w:rsidRDefault="0016640B" w:rsidP="00C827AF">
      <w:pPr>
        <w:spacing w:line="360" w:lineRule="auto"/>
        <w:ind w:firstLine="720"/>
        <w:jc w:val="both"/>
        <w:rPr>
          <w:rFonts w:ascii="Century Gothic" w:hAnsi="Century Gothic"/>
          <w:lang w:val="es-MX"/>
        </w:rPr>
      </w:pPr>
    </w:p>
    <w:p w:rsidR="0016640B" w:rsidRPr="0050035B" w:rsidRDefault="0016640B" w:rsidP="00C827AF">
      <w:pPr>
        <w:spacing w:line="360" w:lineRule="auto"/>
        <w:ind w:firstLine="720"/>
        <w:jc w:val="both"/>
        <w:rPr>
          <w:rFonts w:ascii="Century Gothic" w:hAnsi="Century Gothic"/>
          <w:lang w:val="es-MX"/>
        </w:rPr>
      </w:pPr>
      <w:r w:rsidRPr="0050035B">
        <w:rPr>
          <w:rFonts w:ascii="Century Gothic" w:hAnsi="Century Gothic"/>
          <w:lang w:val="es-MX"/>
        </w:rPr>
        <w:t xml:space="preserve">El mercado laboral mundial mostró un ritmo de recuperación menos vigoroso y continuó por debajo de sus niveles </w:t>
      </w:r>
      <w:r w:rsidR="007130D6" w:rsidRPr="0050035B">
        <w:rPr>
          <w:rFonts w:ascii="Century Gothic" w:hAnsi="Century Gothic"/>
          <w:lang w:val="es-MX"/>
        </w:rPr>
        <w:t>prepandemia</w:t>
      </w:r>
      <w:r w:rsidRPr="0050035B">
        <w:rPr>
          <w:rFonts w:ascii="Century Gothic" w:hAnsi="Century Gothic"/>
          <w:lang w:val="es-MX"/>
        </w:rPr>
        <w:t xml:space="preserve"> en 2021 debido, entre otros factores, a la heterogeneidad en el acceso a las vacunas, las rigideces estructurales en el mercado laboral, así como los estímulos fiscales en algunos países que podrían estar desincentivando el regreso de los trabajadores a la fuerza laboral. Por ejemplo, al mes de agosto, </w:t>
      </w:r>
      <w:r w:rsidR="007130D6" w:rsidRPr="0050035B">
        <w:rPr>
          <w:rFonts w:ascii="Century Gothic" w:hAnsi="Century Gothic"/>
          <w:lang w:val="es-MX"/>
        </w:rPr>
        <w:t>EE. UU.</w:t>
      </w:r>
      <w:r w:rsidRPr="0050035B">
        <w:rPr>
          <w:rFonts w:ascii="Century Gothic" w:hAnsi="Century Gothic"/>
          <w:lang w:val="es-MX"/>
        </w:rPr>
        <w:t xml:space="preserve"> recuperó el 76.2% de los empleos perdidos por la pandemia; mientras que, al segundo trimestre de 2021, la zona del euro recobró s</w:t>
      </w:r>
      <w:r w:rsidR="00790E37">
        <w:rPr>
          <w:rFonts w:ascii="Century Gothic" w:hAnsi="Century Gothic"/>
          <w:lang w:val="es-MX"/>
        </w:rPr>
        <w:t>o</w:t>
      </w:r>
      <w:r w:rsidRPr="0050035B">
        <w:rPr>
          <w:rFonts w:ascii="Century Gothic" w:hAnsi="Century Gothic"/>
          <w:lang w:val="es-MX"/>
        </w:rPr>
        <w:t>lo el 49.8%. En cuanto a las economías latinoamericanas, de los empleos perdidos por la pandemia en 2020, Brasil y Chile recuperaron el 41.9% y el 48.6% a mayo y junio, respectivamente.</w:t>
      </w:r>
    </w:p>
    <w:p w:rsidR="0016640B" w:rsidRPr="0050035B" w:rsidRDefault="0016640B" w:rsidP="00C827AF">
      <w:pPr>
        <w:spacing w:line="360" w:lineRule="auto"/>
        <w:ind w:firstLine="720"/>
        <w:jc w:val="both"/>
        <w:rPr>
          <w:rFonts w:ascii="Century Gothic" w:hAnsi="Century Gothic"/>
          <w:lang w:val="es-MX"/>
        </w:rPr>
      </w:pPr>
    </w:p>
    <w:p w:rsidR="0016640B" w:rsidRPr="0050035B" w:rsidRDefault="0016640B" w:rsidP="00C827AF">
      <w:pPr>
        <w:spacing w:line="360" w:lineRule="auto"/>
        <w:ind w:firstLine="720"/>
        <w:jc w:val="both"/>
        <w:rPr>
          <w:rFonts w:ascii="Century Gothic" w:hAnsi="Century Gothic"/>
          <w:lang w:val="es-MX"/>
        </w:rPr>
      </w:pPr>
      <w:r w:rsidRPr="0050035B">
        <w:rPr>
          <w:rFonts w:ascii="Century Gothic" w:hAnsi="Century Gothic"/>
          <w:lang w:val="es-MX"/>
        </w:rPr>
        <w:t>En este contexto, la Organización Internacional del Trabajo (OIT), en su reporte de perspectivas del empleo y sociales de abril de 2021, pronostica que las horas totales de trabajo en el mundo durante 2022 aún no habrán alcanzado los niveles de 2019.</w:t>
      </w:r>
    </w:p>
    <w:p w:rsidR="0016640B" w:rsidRPr="0050035B" w:rsidRDefault="0016640B" w:rsidP="00C827AF">
      <w:pPr>
        <w:spacing w:line="360" w:lineRule="auto"/>
        <w:ind w:firstLine="720"/>
        <w:jc w:val="both"/>
        <w:rPr>
          <w:rFonts w:ascii="Century Gothic" w:hAnsi="Century Gothic"/>
          <w:lang w:val="es-MX"/>
        </w:rPr>
      </w:pPr>
    </w:p>
    <w:p w:rsidR="00087F81" w:rsidRPr="0050035B" w:rsidRDefault="0016640B" w:rsidP="0016640B">
      <w:pPr>
        <w:spacing w:line="360" w:lineRule="auto"/>
        <w:ind w:firstLine="720"/>
        <w:jc w:val="both"/>
        <w:rPr>
          <w:rFonts w:ascii="Century Gothic" w:hAnsi="Century Gothic"/>
          <w:lang w:val="es-MX"/>
        </w:rPr>
      </w:pPr>
      <w:r w:rsidRPr="0050035B">
        <w:rPr>
          <w:rFonts w:ascii="Century Gothic" w:hAnsi="Century Gothic"/>
          <w:lang w:val="es-MX"/>
        </w:rPr>
        <w:lastRenderedPageBreak/>
        <w:t>En su conjunto, la mejoría de las perspectivas de crecimiento, el mayor dinamismo de la actividad económica, y las presiones temporales sobre la oferta en algunos mercados, contribuyeron a que los precios de las materias primas presentaran incrementos mensuales continuos entre mayo de 2020 y julio de 2021, de acuerdo con el índice de precios de materias primas del FMI.</w:t>
      </w:r>
    </w:p>
    <w:p w:rsidR="0016640B" w:rsidRPr="0050035B" w:rsidRDefault="0016640B" w:rsidP="00A26E5B">
      <w:pPr>
        <w:spacing w:line="360" w:lineRule="auto"/>
        <w:jc w:val="both"/>
        <w:rPr>
          <w:rFonts w:ascii="Century Gothic" w:hAnsi="Century Gothic"/>
          <w:lang w:val="es-MX"/>
        </w:rPr>
      </w:pPr>
    </w:p>
    <w:p w:rsidR="0016640B" w:rsidRPr="0050035B" w:rsidRDefault="0016640B" w:rsidP="009057A6">
      <w:pPr>
        <w:spacing w:line="360" w:lineRule="auto"/>
        <w:ind w:firstLine="720"/>
        <w:jc w:val="both"/>
        <w:rPr>
          <w:rFonts w:ascii="Century Gothic" w:hAnsi="Century Gothic"/>
          <w:lang w:val="es-MX"/>
        </w:rPr>
      </w:pPr>
      <w:r w:rsidRPr="0050035B">
        <w:rPr>
          <w:rFonts w:ascii="Century Gothic" w:hAnsi="Century Gothic"/>
          <w:lang w:val="es-MX"/>
        </w:rPr>
        <w:t>En el mercado petrolero, el aumento de los precios se atribuye a las restricciones de oferta de petróleo por parte de grandes productores aunadas a la rápida recuperación de la demanda. La Organización de Países Exportadores de Petróleo y aliados (OPEP+) ha jugado un papel fundamental en la fuerte restricción de la oferta de petróleo debido a su acuerdo de producción, por el cual retiró del mercado 7.7 millones de barriles diarios (Mbd) en diciembre de 2020, 5.8 Mbd en julio de 2021 y planea que sean 3.8 Mbd en diciembre de 2021, con respecto al nivel cercano a 100 Mbd que se producía previo a la pandemia. Gracias a ello el panorama en el mercado petrolero cambió de forma drástica, ya que los precios casi se duplicaron y alcanzaron niveles no observados desde 2018. Al 31 de agosto de 2021, los precios de la mezcla mexicana, el WTI y el Brent fueron de 66.0, 68.5 y 71.2 dólares por barril (dpb), mayores en 86.0, 86.3 y 72.1%, respectivamente, con relación al 8 de septiembre de 2020.</w:t>
      </w:r>
    </w:p>
    <w:p w:rsidR="0016640B" w:rsidRPr="0050035B" w:rsidRDefault="0016640B" w:rsidP="00A26E5B">
      <w:pPr>
        <w:spacing w:line="360" w:lineRule="auto"/>
        <w:jc w:val="both"/>
        <w:rPr>
          <w:rFonts w:ascii="Century Gothic" w:hAnsi="Century Gothic"/>
          <w:lang w:val="es-MX"/>
        </w:rPr>
      </w:pPr>
    </w:p>
    <w:p w:rsidR="0016640B" w:rsidRPr="0050035B" w:rsidRDefault="0016640B" w:rsidP="00A26E5B">
      <w:pPr>
        <w:spacing w:line="360" w:lineRule="auto"/>
        <w:jc w:val="both"/>
        <w:rPr>
          <w:rFonts w:ascii="Century Gothic" w:hAnsi="Century Gothic"/>
          <w:lang w:val="es-MX"/>
        </w:rPr>
      </w:pPr>
    </w:p>
    <w:p w:rsidR="008D7D5A" w:rsidRDefault="008D7D5A">
      <w:pPr>
        <w:rPr>
          <w:rFonts w:ascii="Century Gothic" w:hAnsi="Century Gothic"/>
          <w:b/>
          <w:sz w:val="22"/>
          <w:szCs w:val="22"/>
          <w:lang w:val="es-MX"/>
        </w:rPr>
      </w:pPr>
      <w:r>
        <w:rPr>
          <w:rFonts w:ascii="Century Gothic" w:hAnsi="Century Gothic"/>
          <w:b/>
          <w:sz w:val="22"/>
          <w:szCs w:val="22"/>
          <w:lang w:val="es-MX"/>
        </w:rPr>
        <w:br w:type="page"/>
      </w:r>
    </w:p>
    <w:p w:rsidR="007130D6" w:rsidRDefault="0016640B" w:rsidP="007130D6">
      <w:pPr>
        <w:ind w:firstLine="720"/>
        <w:jc w:val="center"/>
        <w:rPr>
          <w:rFonts w:ascii="Century Gothic" w:hAnsi="Century Gothic"/>
          <w:bCs/>
          <w:sz w:val="22"/>
          <w:szCs w:val="22"/>
          <w:lang w:val="es-MX"/>
        </w:rPr>
      </w:pPr>
      <w:r w:rsidRPr="007130D6">
        <w:rPr>
          <w:rFonts w:ascii="Century Gothic" w:hAnsi="Century Gothic"/>
          <w:b/>
          <w:sz w:val="22"/>
          <w:szCs w:val="22"/>
          <w:lang w:val="es-MX"/>
        </w:rPr>
        <w:lastRenderedPageBreak/>
        <w:t>Gráfica 2.</w:t>
      </w:r>
      <w:r w:rsidR="007130D6" w:rsidRPr="007130D6">
        <w:rPr>
          <w:rFonts w:ascii="Century Gothic" w:hAnsi="Century Gothic"/>
          <w:b/>
          <w:sz w:val="22"/>
          <w:szCs w:val="22"/>
          <w:lang w:val="es-MX"/>
        </w:rPr>
        <w:t>3.</w:t>
      </w:r>
      <w:r w:rsidR="007130D6" w:rsidRPr="007130D6">
        <w:rPr>
          <w:rFonts w:ascii="Century Gothic" w:hAnsi="Century Gothic"/>
          <w:bCs/>
          <w:sz w:val="22"/>
          <w:szCs w:val="22"/>
          <w:lang w:val="es-MX"/>
        </w:rPr>
        <w:t xml:space="preserve"> Balance de Oferta y</w:t>
      </w:r>
      <w:r w:rsidR="007130D6">
        <w:rPr>
          <w:rFonts w:ascii="Century Gothic" w:hAnsi="Century Gothic"/>
          <w:bCs/>
          <w:sz w:val="22"/>
          <w:szCs w:val="22"/>
          <w:lang w:val="es-MX"/>
        </w:rPr>
        <w:t xml:space="preserve"> Demanda </w:t>
      </w:r>
    </w:p>
    <w:p w:rsidR="0016640B" w:rsidRPr="007130D6" w:rsidRDefault="007130D6" w:rsidP="007130D6">
      <w:pPr>
        <w:ind w:firstLine="720"/>
        <w:jc w:val="center"/>
        <w:rPr>
          <w:rFonts w:ascii="Century Gothic" w:hAnsi="Century Gothic"/>
          <w:bCs/>
          <w:sz w:val="22"/>
          <w:szCs w:val="22"/>
          <w:lang w:val="es-MX"/>
        </w:rPr>
      </w:pPr>
      <w:r w:rsidRPr="0050035B">
        <w:rPr>
          <w:noProof/>
          <w:lang w:val="es-MX" w:eastAsia="es-MX"/>
        </w:rPr>
        <w:drawing>
          <wp:anchor distT="0" distB="0" distL="114300" distR="114300" simplePos="0" relativeHeight="251732992" behindDoc="1" locked="0" layoutInCell="1" allowOverlap="1" wp14:anchorId="1F2B6475" wp14:editId="2B09E873">
            <wp:simplePos x="0" y="0"/>
            <wp:positionH relativeFrom="column">
              <wp:posOffset>1354570</wp:posOffset>
            </wp:positionH>
            <wp:positionV relativeFrom="paragraph">
              <wp:posOffset>170180</wp:posOffset>
            </wp:positionV>
            <wp:extent cx="3505200" cy="306705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05200" cy="3067050"/>
                    </a:xfrm>
                    <a:prstGeom prst="rect">
                      <a:avLst/>
                    </a:prstGeom>
                  </pic:spPr>
                </pic:pic>
              </a:graphicData>
            </a:graphic>
          </wp:anchor>
        </w:drawing>
      </w:r>
      <w:r>
        <w:rPr>
          <w:rFonts w:ascii="Century Gothic" w:hAnsi="Century Gothic"/>
          <w:bCs/>
          <w:sz w:val="22"/>
          <w:szCs w:val="22"/>
          <w:lang w:val="es-MX"/>
        </w:rPr>
        <w:t>Mundial de Petróleo</w:t>
      </w:r>
    </w:p>
    <w:p w:rsidR="0016640B" w:rsidRPr="0050035B" w:rsidRDefault="0016640B" w:rsidP="0016640B">
      <w:pPr>
        <w:spacing w:line="360" w:lineRule="auto"/>
        <w:ind w:firstLine="720"/>
        <w:jc w:val="both"/>
        <w:rPr>
          <w:rFonts w:ascii="Century Gothic" w:hAnsi="Century Gothic"/>
          <w:lang w:val="es-MX"/>
        </w:rPr>
      </w:pPr>
    </w:p>
    <w:p w:rsidR="0016640B" w:rsidRPr="0050035B" w:rsidRDefault="0016640B" w:rsidP="0016640B">
      <w:pPr>
        <w:spacing w:line="360" w:lineRule="auto"/>
        <w:ind w:firstLine="720"/>
        <w:jc w:val="both"/>
        <w:rPr>
          <w:rFonts w:ascii="Century Gothic" w:hAnsi="Century Gothic"/>
          <w:sz w:val="20"/>
          <w:lang w:val="es-MX"/>
        </w:rPr>
      </w:pPr>
    </w:p>
    <w:p w:rsidR="0016640B" w:rsidRPr="0050035B" w:rsidRDefault="0016640B" w:rsidP="0016640B">
      <w:pPr>
        <w:spacing w:line="360" w:lineRule="auto"/>
        <w:ind w:firstLine="720"/>
        <w:jc w:val="both"/>
        <w:rPr>
          <w:rFonts w:ascii="Century Gothic" w:hAnsi="Century Gothic"/>
          <w:lang w:val="es-MX"/>
        </w:rPr>
      </w:pPr>
    </w:p>
    <w:p w:rsidR="0016640B" w:rsidRPr="0050035B" w:rsidRDefault="0016640B" w:rsidP="0016640B">
      <w:pPr>
        <w:spacing w:line="360" w:lineRule="auto"/>
        <w:ind w:firstLine="720"/>
        <w:jc w:val="both"/>
        <w:rPr>
          <w:rFonts w:ascii="Century Gothic" w:hAnsi="Century Gothic"/>
          <w:lang w:val="es-MX"/>
        </w:rPr>
      </w:pPr>
    </w:p>
    <w:p w:rsidR="0016640B" w:rsidRPr="0050035B" w:rsidRDefault="0016640B" w:rsidP="0016640B">
      <w:pPr>
        <w:spacing w:line="360" w:lineRule="auto"/>
        <w:ind w:firstLine="720"/>
        <w:jc w:val="both"/>
        <w:rPr>
          <w:rFonts w:ascii="Century Gothic" w:hAnsi="Century Gothic"/>
          <w:sz w:val="14"/>
          <w:lang w:val="es-MX"/>
        </w:rPr>
      </w:pPr>
    </w:p>
    <w:p w:rsidR="0016640B" w:rsidRPr="0050035B" w:rsidRDefault="0016640B" w:rsidP="0016640B">
      <w:pPr>
        <w:spacing w:line="360" w:lineRule="auto"/>
        <w:ind w:firstLine="720"/>
        <w:jc w:val="both"/>
        <w:rPr>
          <w:rFonts w:ascii="Century Gothic" w:hAnsi="Century Gothic"/>
          <w:sz w:val="16"/>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2268" w:right="1585"/>
        <w:jc w:val="both"/>
        <w:rPr>
          <w:rFonts w:ascii="Century Gothic" w:hAnsi="Century Gothic"/>
          <w:sz w:val="20"/>
          <w:lang w:val="es-MX"/>
        </w:rPr>
      </w:pPr>
      <w:r w:rsidRPr="0050035B">
        <w:rPr>
          <w:rFonts w:ascii="Century Gothic" w:hAnsi="Century Gothic"/>
          <w:b/>
          <w:bCs/>
          <w:sz w:val="20"/>
          <w:lang w:val="es-MX"/>
        </w:rPr>
        <w:t>Fuente</w:t>
      </w:r>
      <w:r w:rsidRPr="0050035B">
        <w:rPr>
          <w:rFonts w:ascii="Century Gothic" w:hAnsi="Century Gothic"/>
          <w:sz w:val="20"/>
          <w:lang w:val="es-MX"/>
        </w:rPr>
        <w:t>: Criterios Generales de Política Económica para la Iniciativa de Ley de Ingresos y el Proyecto de Presupuesto de Egresos de la Federación, correspondientes al ejercicio fiscal 2022.</w:t>
      </w:r>
    </w:p>
    <w:p w:rsidR="0016640B" w:rsidRPr="0050035B" w:rsidRDefault="0016640B" w:rsidP="00A26E5B">
      <w:pPr>
        <w:spacing w:line="360" w:lineRule="auto"/>
        <w:jc w:val="both"/>
        <w:rPr>
          <w:lang w:val="es-MX"/>
        </w:rPr>
      </w:pPr>
    </w:p>
    <w:p w:rsidR="0016640B" w:rsidRPr="0050035B" w:rsidRDefault="0016640B" w:rsidP="0016640B">
      <w:pPr>
        <w:spacing w:line="360" w:lineRule="auto"/>
        <w:ind w:firstLine="720"/>
        <w:jc w:val="both"/>
        <w:rPr>
          <w:rFonts w:ascii="Century Gothic" w:hAnsi="Century Gothic"/>
          <w:lang w:val="es-MX"/>
        </w:rPr>
      </w:pPr>
      <w:r w:rsidRPr="0050035B">
        <w:rPr>
          <w:rFonts w:ascii="Century Gothic" w:hAnsi="Century Gothic"/>
          <w:lang w:val="es-MX"/>
        </w:rPr>
        <w:t>En lo que respecta al sector financiero, desde la segunda mitad del 2020 los principales índices registraron una recuperación total, apoyados por una política monetaria de carácter acomodaticia y por una mejoría en las perspectivas económicas</w:t>
      </w:r>
      <w:r w:rsidR="00066841">
        <w:rPr>
          <w:rFonts w:ascii="Century Gothic" w:hAnsi="Century Gothic"/>
          <w:lang w:val="es-MX"/>
        </w:rPr>
        <w:t xml:space="preserve"> (véase grafica 2.3)</w:t>
      </w:r>
      <w:r w:rsidRPr="0050035B">
        <w:rPr>
          <w:rFonts w:ascii="Century Gothic" w:hAnsi="Century Gothic"/>
          <w:lang w:val="es-MX"/>
        </w:rPr>
        <w:t>.</w:t>
      </w:r>
    </w:p>
    <w:p w:rsidR="0016640B" w:rsidRPr="0050035B" w:rsidRDefault="0016640B" w:rsidP="00A26E5B">
      <w:pPr>
        <w:spacing w:line="360" w:lineRule="auto"/>
        <w:jc w:val="both"/>
        <w:rPr>
          <w:rFonts w:ascii="Century Gothic" w:hAnsi="Century Gothic"/>
          <w:lang w:val="es-MX"/>
        </w:rPr>
      </w:pPr>
    </w:p>
    <w:p w:rsidR="00BC5EF0" w:rsidRPr="0050035B" w:rsidRDefault="00CF13F6" w:rsidP="00D82B93">
      <w:pPr>
        <w:spacing w:line="360" w:lineRule="auto"/>
        <w:rPr>
          <w:rFonts w:ascii="Century Gothic" w:hAnsi="Century Gothic"/>
          <w:b/>
          <w:lang w:val="es-MX"/>
        </w:rPr>
      </w:pPr>
      <w:r w:rsidRPr="0050035B">
        <w:rPr>
          <w:rFonts w:ascii="Century Gothic" w:hAnsi="Century Gothic"/>
          <w:b/>
          <w:lang w:val="es-MX"/>
        </w:rPr>
        <w:t>2.1.2</w:t>
      </w:r>
      <w:r w:rsidR="00EA3D6F" w:rsidRPr="0050035B">
        <w:rPr>
          <w:rFonts w:ascii="Century Gothic" w:hAnsi="Century Gothic"/>
          <w:b/>
          <w:lang w:val="es-MX"/>
        </w:rPr>
        <w:t xml:space="preserve">. </w:t>
      </w:r>
      <w:r w:rsidR="00FC650B" w:rsidRPr="0050035B">
        <w:rPr>
          <w:rFonts w:ascii="Century Gothic" w:hAnsi="Century Gothic"/>
          <w:b/>
          <w:lang w:val="es-MX"/>
        </w:rPr>
        <w:t>Entorno económico nacional</w:t>
      </w:r>
    </w:p>
    <w:p w:rsidR="0016640B" w:rsidRPr="0050035B" w:rsidRDefault="0016640B" w:rsidP="00A26E5B">
      <w:pPr>
        <w:spacing w:line="360" w:lineRule="auto"/>
        <w:jc w:val="both"/>
        <w:rPr>
          <w:rFonts w:ascii="Century Gothic" w:hAnsi="Century Gothic"/>
          <w:lang w:val="es-MX"/>
        </w:rPr>
      </w:pPr>
      <w:r w:rsidRPr="0050035B">
        <w:rPr>
          <w:rFonts w:ascii="Century Gothic" w:hAnsi="Century Gothic"/>
          <w:lang w:val="es-MX"/>
        </w:rPr>
        <w:t xml:space="preserve">Durante la primera mitad de 2021 el nivel de actividad económica en México se expandió a una tasa de crecimiento anual de 6.9%, superior a la estimada inicialmente por analistas y organismos internacionales. El FMI, por ejemplo, pasó de una estimación de crecimiento anual para 2021 de 3.5% en octubre de 2020 a estimaciones de 4.3, 5.0 y 6.3% en enero, abril y julio de 2021, respectivamente. Por su parte, la mediana de las expectativas de crecimiento de los especialistas del sector privado encuestados por el </w:t>
      </w:r>
      <w:r w:rsidRPr="0050035B">
        <w:rPr>
          <w:rFonts w:ascii="Century Gothic" w:hAnsi="Century Gothic"/>
          <w:lang w:val="es-MX"/>
        </w:rPr>
        <w:lastRenderedPageBreak/>
        <w:t>Banco de México pasó de 3.2 a 3.5, 4.8 y luego a 6.1%, en los mismos periodos</w:t>
      </w:r>
      <w:r w:rsidR="00066841">
        <w:rPr>
          <w:rFonts w:ascii="Century Gothic" w:hAnsi="Century Gothic"/>
          <w:lang w:val="es-MX"/>
        </w:rPr>
        <w:t>.</w:t>
      </w:r>
    </w:p>
    <w:p w:rsidR="00066841" w:rsidRPr="0050035B" w:rsidRDefault="00066841" w:rsidP="00066841">
      <w:pPr>
        <w:spacing w:line="360" w:lineRule="auto"/>
        <w:ind w:left="2160"/>
        <w:rPr>
          <w:rFonts w:ascii="Century Gothic" w:hAnsi="Century Gothic"/>
          <w:sz w:val="22"/>
          <w:szCs w:val="22"/>
          <w:lang w:val="es-MX"/>
        </w:rPr>
      </w:pPr>
      <w:r w:rsidRPr="0050035B">
        <w:rPr>
          <w:noProof/>
          <w:lang w:val="es-MX" w:eastAsia="es-MX"/>
        </w:rPr>
        <w:drawing>
          <wp:anchor distT="0" distB="0" distL="114300" distR="114300" simplePos="0" relativeHeight="251760640" behindDoc="1" locked="0" layoutInCell="1" allowOverlap="1" wp14:anchorId="4450BBDC" wp14:editId="6843B645">
            <wp:simplePos x="0" y="0"/>
            <wp:positionH relativeFrom="column">
              <wp:posOffset>1337945</wp:posOffset>
            </wp:positionH>
            <wp:positionV relativeFrom="paragraph">
              <wp:posOffset>231890</wp:posOffset>
            </wp:positionV>
            <wp:extent cx="3400425" cy="3009900"/>
            <wp:effectExtent l="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00425" cy="3009900"/>
                    </a:xfrm>
                    <a:prstGeom prst="rect">
                      <a:avLst/>
                    </a:prstGeom>
                  </pic:spPr>
                </pic:pic>
              </a:graphicData>
            </a:graphic>
          </wp:anchor>
        </w:drawing>
      </w:r>
      <w:r>
        <w:rPr>
          <w:rFonts w:ascii="Century Gothic" w:hAnsi="Century Gothic"/>
          <w:b/>
          <w:sz w:val="22"/>
          <w:szCs w:val="22"/>
          <w:lang w:val="es-MX"/>
        </w:rPr>
        <w:t xml:space="preserve">       </w:t>
      </w:r>
      <w:r w:rsidRPr="007130D6">
        <w:rPr>
          <w:rFonts w:ascii="Century Gothic" w:hAnsi="Century Gothic"/>
          <w:b/>
          <w:sz w:val="22"/>
          <w:szCs w:val="22"/>
          <w:lang w:val="es-MX"/>
        </w:rPr>
        <w:t>Gráfica 2.</w:t>
      </w:r>
      <w:r>
        <w:rPr>
          <w:rFonts w:ascii="Century Gothic" w:hAnsi="Century Gothic"/>
          <w:b/>
          <w:sz w:val="22"/>
          <w:szCs w:val="22"/>
          <w:lang w:val="es-MX"/>
        </w:rPr>
        <w:t>4</w:t>
      </w:r>
      <w:r w:rsidRPr="007130D6">
        <w:rPr>
          <w:rFonts w:ascii="Century Gothic" w:hAnsi="Century Gothic"/>
          <w:b/>
          <w:sz w:val="22"/>
          <w:szCs w:val="22"/>
          <w:lang w:val="es-MX"/>
        </w:rPr>
        <w:t>.</w:t>
      </w:r>
      <w:r w:rsidRPr="007130D6">
        <w:rPr>
          <w:rFonts w:ascii="Century Gothic" w:hAnsi="Century Gothic"/>
          <w:sz w:val="22"/>
          <w:szCs w:val="22"/>
          <w:lang w:val="es-MX"/>
        </w:rPr>
        <w:t xml:space="preserve"> PIB </w:t>
      </w:r>
      <w:r>
        <w:rPr>
          <w:rFonts w:ascii="Century Gothic" w:hAnsi="Century Gothic"/>
          <w:sz w:val="22"/>
          <w:szCs w:val="22"/>
          <w:lang w:val="es-MX"/>
        </w:rPr>
        <w:t xml:space="preserve">México </w:t>
      </w:r>
      <w:r w:rsidRPr="007130D6">
        <w:rPr>
          <w:rFonts w:ascii="Century Gothic" w:hAnsi="Century Gothic"/>
          <w:sz w:val="22"/>
          <w:szCs w:val="22"/>
          <w:lang w:val="es-MX"/>
        </w:rPr>
        <w:t>2018-2021.</w:t>
      </w:r>
      <w:r w:rsidRPr="0050035B">
        <w:rPr>
          <w:rFonts w:ascii="Century Gothic" w:hAnsi="Century Gothic"/>
          <w:sz w:val="22"/>
          <w:szCs w:val="22"/>
          <w:lang w:val="es-MX"/>
        </w:rPr>
        <w:t xml:space="preserve"> </w:t>
      </w:r>
    </w:p>
    <w:p w:rsidR="00066841" w:rsidRPr="0050035B" w:rsidRDefault="00066841" w:rsidP="00066841">
      <w:pPr>
        <w:spacing w:line="360" w:lineRule="auto"/>
        <w:ind w:firstLine="720"/>
        <w:jc w:val="both"/>
        <w:rPr>
          <w:rFonts w:ascii="Century Gothic" w:hAnsi="Century Gothic"/>
          <w:lang w:val="es-MX"/>
        </w:rPr>
      </w:pPr>
    </w:p>
    <w:p w:rsidR="00066841" w:rsidRPr="0050035B" w:rsidRDefault="00066841" w:rsidP="00066841">
      <w:pPr>
        <w:spacing w:line="360" w:lineRule="auto"/>
        <w:ind w:firstLine="720"/>
        <w:jc w:val="both"/>
        <w:rPr>
          <w:rFonts w:ascii="Century Gothic" w:hAnsi="Century Gothic"/>
          <w:sz w:val="20"/>
          <w:lang w:val="es-MX"/>
        </w:rPr>
      </w:pPr>
    </w:p>
    <w:p w:rsidR="00066841" w:rsidRPr="0050035B" w:rsidRDefault="00066841" w:rsidP="00066841">
      <w:pPr>
        <w:spacing w:line="360" w:lineRule="auto"/>
        <w:ind w:firstLine="720"/>
        <w:jc w:val="both"/>
        <w:rPr>
          <w:rFonts w:ascii="Century Gothic" w:hAnsi="Century Gothic"/>
          <w:lang w:val="es-MX"/>
        </w:rPr>
      </w:pPr>
    </w:p>
    <w:p w:rsidR="00066841" w:rsidRPr="0050035B" w:rsidRDefault="00066841" w:rsidP="00066841">
      <w:pPr>
        <w:spacing w:line="360" w:lineRule="auto"/>
        <w:ind w:firstLine="720"/>
        <w:jc w:val="both"/>
        <w:rPr>
          <w:rFonts w:ascii="Century Gothic" w:hAnsi="Century Gothic"/>
          <w:lang w:val="es-MX"/>
        </w:rPr>
      </w:pPr>
    </w:p>
    <w:p w:rsidR="00066841" w:rsidRPr="0050035B" w:rsidRDefault="00066841" w:rsidP="00066841">
      <w:pPr>
        <w:spacing w:line="360" w:lineRule="auto"/>
        <w:ind w:firstLine="720"/>
        <w:jc w:val="both"/>
        <w:rPr>
          <w:rFonts w:ascii="Century Gothic" w:hAnsi="Century Gothic"/>
          <w:sz w:val="14"/>
          <w:lang w:val="es-MX"/>
        </w:rPr>
      </w:pPr>
    </w:p>
    <w:p w:rsidR="00066841" w:rsidRPr="0050035B" w:rsidRDefault="00066841" w:rsidP="00066841">
      <w:pPr>
        <w:spacing w:line="360" w:lineRule="auto"/>
        <w:ind w:firstLine="720"/>
        <w:jc w:val="both"/>
        <w:rPr>
          <w:rFonts w:ascii="Century Gothic" w:hAnsi="Century Gothic"/>
          <w:sz w:val="16"/>
          <w:lang w:val="es-MX"/>
        </w:rPr>
      </w:pPr>
    </w:p>
    <w:p w:rsidR="00066841" w:rsidRPr="0050035B" w:rsidRDefault="00066841" w:rsidP="00066841">
      <w:pPr>
        <w:ind w:left="1560" w:right="1585"/>
        <w:jc w:val="both"/>
        <w:rPr>
          <w:rFonts w:ascii="Century Gothic" w:hAnsi="Century Gothic"/>
          <w:b/>
          <w:bCs/>
          <w:sz w:val="20"/>
          <w:lang w:val="es-MX"/>
        </w:rPr>
      </w:pPr>
    </w:p>
    <w:p w:rsidR="0016640B" w:rsidRDefault="0016640B" w:rsidP="0016640B">
      <w:pPr>
        <w:ind w:left="1560" w:right="1585"/>
        <w:jc w:val="both"/>
        <w:rPr>
          <w:rFonts w:ascii="Century Gothic" w:hAnsi="Century Gothic"/>
          <w:b/>
          <w:bCs/>
          <w:sz w:val="20"/>
          <w:lang w:val="es-MX"/>
        </w:rPr>
      </w:pPr>
    </w:p>
    <w:p w:rsidR="00066841" w:rsidRDefault="00066841" w:rsidP="0016640B">
      <w:pPr>
        <w:ind w:left="1560" w:right="1585"/>
        <w:jc w:val="both"/>
        <w:rPr>
          <w:rFonts w:ascii="Century Gothic" w:hAnsi="Century Gothic"/>
          <w:b/>
          <w:bCs/>
          <w:sz w:val="20"/>
          <w:lang w:val="es-MX"/>
        </w:rPr>
      </w:pPr>
    </w:p>
    <w:p w:rsidR="00066841" w:rsidRDefault="00066841" w:rsidP="0016640B">
      <w:pPr>
        <w:ind w:left="1560" w:right="1585"/>
        <w:jc w:val="both"/>
        <w:rPr>
          <w:rFonts w:ascii="Century Gothic" w:hAnsi="Century Gothic"/>
          <w:b/>
          <w:bCs/>
          <w:sz w:val="20"/>
          <w:lang w:val="es-MX"/>
        </w:rPr>
      </w:pPr>
    </w:p>
    <w:p w:rsidR="00066841" w:rsidRPr="0050035B" w:rsidRDefault="00066841" w:rsidP="0016640B">
      <w:pPr>
        <w:ind w:left="1560" w:right="1585"/>
        <w:jc w:val="both"/>
        <w:rPr>
          <w:rFonts w:ascii="Century Gothic" w:hAnsi="Century Gothic"/>
          <w:b/>
          <w:bCs/>
          <w:sz w:val="20"/>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1560" w:right="1585"/>
        <w:jc w:val="both"/>
        <w:rPr>
          <w:rFonts w:ascii="Century Gothic" w:hAnsi="Century Gothic"/>
          <w:b/>
          <w:bCs/>
          <w:sz w:val="20"/>
          <w:lang w:val="es-MX"/>
        </w:rPr>
      </w:pPr>
    </w:p>
    <w:p w:rsidR="0016640B" w:rsidRPr="0050035B" w:rsidRDefault="0016640B" w:rsidP="0016640B">
      <w:pPr>
        <w:ind w:left="2268" w:right="1585"/>
        <w:jc w:val="both"/>
        <w:rPr>
          <w:rFonts w:ascii="Century Gothic" w:hAnsi="Century Gothic"/>
          <w:sz w:val="20"/>
          <w:lang w:val="es-MX"/>
        </w:rPr>
      </w:pPr>
      <w:r w:rsidRPr="0050035B">
        <w:rPr>
          <w:rFonts w:ascii="Century Gothic" w:hAnsi="Century Gothic"/>
          <w:b/>
          <w:bCs/>
          <w:sz w:val="20"/>
          <w:lang w:val="es-MX"/>
        </w:rPr>
        <w:t>Fuente</w:t>
      </w:r>
      <w:r w:rsidRPr="0050035B">
        <w:rPr>
          <w:rFonts w:ascii="Century Gothic" w:hAnsi="Century Gothic"/>
          <w:sz w:val="20"/>
          <w:lang w:val="es-MX"/>
        </w:rPr>
        <w:t>: Criterios Generales de Política Económica para la Iniciativa de Ley de Ingresos y el Proyecto de Presupuesto de Egresos de la Federación, correspondientes al ejercicio fiscal 2022.</w:t>
      </w:r>
    </w:p>
    <w:p w:rsidR="0016640B" w:rsidRPr="0050035B" w:rsidRDefault="0016640B" w:rsidP="00A26E5B">
      <w:pPr>
        <w:spacing w:line="360" w:lineRule="auto"/>
        <w:jc w:val="both"/>
        <w:rPr>
          <w:rFonts w:ascii="Century Gothic" w:hAnsi="Century Gothic"/>
          <w:highlight w:val="yellow"/>
          <w:lang w:val="es-MX"/>
        </w:rPr>
      </w:pPr>
    </w:p>
    <w:p w:rsidR="0016640B" w:rsidRPr="0050035B" w:rsidRDefault="0016640B" w:rsidP="007130D6">
      <w:pPr>
        <w:spacing w:line="360" w:lineRule="auto"/>
        <w:ind w:firstLine="720"/>
        <w:jc w:val="both"/>
        <w:rPr>
          <w:rFonts w:ascii="Century Gothic" w:hAnsi="Century Gothic"/>
          <w:lang w:val="es-MX"/>
        </w:rPr>
      </w:pPr>
      <w:r w:rsidRPr="0050035B">
        <w:rPr>
          <w:rFonts w:ascii="Century Gothic" w:hAnsi="Century Gothic"/>
          <w:lang w:val="es-MX"/>
        </w:rPr>
        <w:t xml:space="preserve">La recuperación del PIB ha sido sostenida y constante, acumulando cuatro trimestres consecutivos de crecimiento al segundo trimestre de 2021 y alcanzando un 97.9% del nivel observado en el cuarto trimestre de 2019, previo a la materialización de las afectaciones a la economía por la pandemia </w:t>
      </w:r>
      <w:r w:rsidR="00C17543">
        <w:rPr>
          <w:rFonts w:ascii="Century Gothic" w:hAnsi="Century Gothic"/>
          <w:lang w:val="es-MX"/>
        </w:rPr>
        <w:t>del virus SARS-CoV2 (COVID-19)</w:t>
      </w:r>
      <w:r w:rsidR="00066841">
        <w:rPr>
          <w:rFonts w:ascii="Century Gothic" w:hAnsi="Century Gothic"/>
          <w:lang w:val="es-MX"/>
        </w:rPr>
        <w:t>, véase gráfica 2.4</w:t>
      </w:r>
      <w:r w:rsidRPr="0050035B">
        <w:rPr>
          <w:rFonts w:ascii="Century Gothic" w:hAnsi="Century Gothic"/>
          <w:lang w:val="es-MX"/>
        </w:rPr>
        <w:t>.</w:t>
      </w:r>
    </w:p>
    <w:p w:rsidR="0016640B" w:rsidRPr="0050035B" w:rsidRDefault="0016640B">
      <w:pPr>
        <w:rPr>
          <w:rFonts w:ascii="Century Gothic" w:hAnsi="Century Gothic"/>
          <w:lang w:val="es-MX"/>
        </w:rPr>
      </w:pPr>
      <w:r w:rsidRPr="0050035B">
        <w:rPr>
          <w:rFonts w:ascii="Century Gothic" w:hAnsi="Century Gothic"/>
          <w:lang w:val="es-MX"/>
        </w:rPr>
        <w:br w:type="page"/>
      </w:r>
    </w:p>
    <w:p w:rsidR="00066841" w:rsidRPr="0050035B" w:rsidRDefault="00066841" w:rsidP="00066841">
      <w:pPr>
        <w:spacing w:line="360" w:lineRule="auto"/>
        <w:ind w:firstLine="720"/>
        <w:jc w:val="center"/>
        <w:rPr>
          <w:rFonts w:ascii="Century Gothic" w:hAnsi="Century Gothic"/>
          <w:sz w:val="22"/>
          <w:szCs w:val="22"/>
          <w:lang w:val="es-MX"/>
        </w:rPr>
      </w:pPr>
      <w:r w:rsidRPr="007130D6">
        <w:rPr>
          <w:noProof/>
          <w:lang w:val="es-MX" w:eastAsia="es-MX"/>
        </w:rPr>
        <w:lastRenderedPageBreak/>
        <w:drawing>
          <wp:anchor distT="0" distB="0" distL="114300" distR="114300" simplePos="0" relativeHeight="251758592" behindDoc="1" locked="0" layoutInCell="1" allowOverlap="1" wp14:anchorId="34E22DB6" wp14:editId="64007E0D">
            <wp:simplePos x="0" y="0"/>
            <wp:positionH relativeFrom="column">
              <wp:posOffset>1376795</wp:posOffset>
            </wp:positionH>
            <wp:positionV relativeFrom="paragraph">
              <wp:posOffset>191135</wp:posOffset>
            </wp:positionV>
            <wp:extent cx="3371850" cy="30480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71850" cy="3048000"/>
                    </a:xfrm>
                    <a:prstGeom prst="rect">
                      <a:avLst/>
                    </a:prstGeom>
                  </pic:spPr>
                </pic:pic>
              </a:graphicData>
            </a:graphic>
          </wp:anchor>
        </w:drawing>
      </w:r>
      <w:r w:rsidRPr="007130D6">
        <w:rPr>
          <w:rFonts w:ascii="Century Gothic" w:hAnsi="Century Gothic"/>
          <w:b/>
          <w:sz w:val="22"/>
          <w:szCs w:val="22"/>
          <w:lang w:val="es-MX"/>
        </w:rPr>
        <w:t>Gráfica 2.</w:t>
      </w:r>
      <w:r>
        <w:rPr>
          <w:rFonts w:ascii="Century Gothic" w:hAnsi="Century Gothic"/>
          <w:b/>
          <w:sz w:val="22"/>
          <w:szCs w:val="22"/>
          <w:lang w:val="es-MX"/>
        </w:rPr>
        <w:t>5</w:t>
      </w:r>
      <w:r w:rsidRPr="007130D6">
        <w:rPr>
          <w:rFonts w:ascii="Century Gothic" w:hAnsi="Century Gothic"/>
          <w:b/>
          <w:sz w:val="22"/>
          <w:szCs w:val="22"/>
          <w:lang w:val="es-MX"/>
        </w:rPr>
        <w:t>.</w:t>
      </w:r>
      <w:r w:rsidRPr="007130D6">
        <w:rPr>
          <w:rFonts w:ascii="Century Gothic" w:hAnsi="Century Gothic"/>
          <w:sz w:val="22"/>
          <w:szCs w:val="22"/>
          <w:lang w:val="es-MX"/>
        </w:rPr>
        <w:t xml:space="preserve"> Consumo Privado e Inversión 2018-2021.</w:t>
      </w:r>
      <w:r w:rsidRPr="0050035B">
        <w:rPr>
          <w:rFonts w:ascii="Century Gothic" w:hAnsi="Century Gothic"/>
          <w:sz w:val="22"/>
          <w:szCs w:val="22"/>
          <w:lang w:val="es-MX"/>
        </w:rPr>
        <w:t xml:space="preserve"> </w:t>
      </w:r>
    </w:p>
    <w:p w:rsidR="00066841" w:rsidRPr="0050035B" w:rsidRDefault="00066841" w:rsidP="00066841">
      <w:pPr>
        <w:spacing w:line="360" w:lineRule="auto"/>
        <w:ind w:firstLine="720"/>
        <w:jc w:val="both"/>
        <w:rPr>
          <w:rFonts w:ascii="Century Gothic" w:hAnsi="Century Gothic"/>
          <w:lang w:val="es-MX"/>
        </w:rPr>
      </w:pPr>
    </w:p>
    <w:p w:rsidR="00066841" w:rsidRPr="0050035B" w:rsidRDefault="00066841" w:rsidP="00066841">
      <w:pPr>
        <w:spacing w:line="360" w:lineRule="auto"/>
        <w:ind w:firstLine="720"/>
        <w:jc w:val="both"/>
        <w:rPr>
          <w:rFonts w:ascii="Century Gothic" w:hAnsi="Century Gothic"/>
          <w:sz w:val="20"/>
          <w:lang w:val="es-MX"/>
        </w:rPr>
      </w:pPr>
    </w:p>
    <w:p w:rsidR="00066841" w:rsidRPr="0050035B" w:rsidRDefault="00066841" w:rsidP="00066841">
      <w:pPr>
        <w:spacing w:line="360" w:lineRule="auto"/>
        <w:ind w:firstLine="720"/>
        <w:jc w:val="both"/>
        <w:rPr>
          <w:rFonts w:ascii="Century Gothic" w:hAnsi="Century Gothic"/>
          <w:lang w:val="es-MX"/>
        </w:rPr>
      </w:pPr>
    </w:p>
    <w:p w:rsidR="00066841" w:rsidRPr="0050035B" w:rsidRDefault="00066841" w:rsidP="00066841">
      <w:pPr>
        <w:spacing w:line="360" w:lineRule="auto"/>
        <w:ind w:firstLine="720"/>
        <w:jc w:val="both"/>
        <w:rPr>
          <w:rFonts w:ascii="Century Gothic" w:hAnsi="Century Gothic"/>
          <w:lang w:val="es-MX"/>
        </w:rPr>
      </w:pPr>
    </w:p>
    <w:p w:rsidR="00066841" w:rsidRPr="0050035B" w:rsidRDefault="00066841" w:rsidP="00066841">
      <w:pPr>
        <w:spacing w:line="360" w:lineRule="auto"/>
        <w:ind w:firstLine="720"/>
        <w:jc w:val="both"/>
        <w:rPr>
          <w:rFonts w:ascii="Century Gothic" w:hAnsi="Century Gothic"/>
          <w:sz w:val="14"/>
          <w:lang w:val="es-MX"/>
        </w:rPr>
      </w:pPr>
    </w:p>
    <w:p w:rsidR="00066841" w:rsidRPr="0050035B" w:rsidRDefault="00066841" w:rsidP="00066841">
      <w:pPr>
        <w:spacing w:line="360" w:lineRule="auto"/>
        <w:ind w:firstLine="720"/>
        <w:jc w:val="both"/>
        <w:rPr>
          <w:rFonts w:ascii="Century Gothic" w:hAnsi="Century Gothic"/>
          <w:sz w:val="16"/>
          <w:lang w:val="es-MX"/>
        </w:rPr>
      </w:pPr>
    </w:p>
    <w:p w:rsidR="00066841" w:rsidRPr="0050035B" w:rsidRDefault="00066841" w:rsidP="00066841">
      <w:pPr>
        <w:ind w:left="1560" w:right="1585"/>
        <w:jc w:val="both"/>
        <w:rPr>
          <w:rFonts w:ascii="Century Gothic" w:hAnsi="Century Gothic"/>
          <w:b/>
          <w:bCs/>
          <w:sz w:val="20"/>
          <w:lang w:val="es-MX"/>
        </w:rPr>
      </w:pPr>
    </w:p>
    <w:p w:rsidR="00066841" w:rsidRPr="0050035B" w:rsidRDefault="00066841" w:rsidP="00066841">
      <w:pPr>
        <w:ind w:left="1560" w:right="1585"/>
        <w:jc w:val="both"/>
        <w:rPr>
          <w:rFonts w:ascii="Century Gothic" w:hAnsi="Century Gothic"/>
          <w:b/>
          <w:bCs/>
          <w:sz w:val="20"/>
          <w:lang w:val="es-MX"/>
        </w:rPr>
      </w:pPr>
    </w:p>
    <w:p w:rsidR="00066841" w:rsidRPr="0050035B" w:rsidRDefault="00066841" w:rsidP="00066841">
      <w:pPr>
        <w:ind w:left="1560" w:right="1585"/>
        <w:jc w:val="both"/>
        <w:rPr>
          <w:rFonts w:ascii="Century Gothic" w:hAnsi="Century Gothic"/>
          <w:b/>
          <w:bCs/>
          <w:sz w:val="20"/>
          <w:lang w:val="es-MX"/>
        </w:rPr>
      </w:pPr>
    </w:p>
    <w:p w:rsidR="00066841" w:rsidRPr="0050035B" w:rsidRDefault="00066841" w:rsidP="00066841">
      <w:pPr>
        <w:ind w:left="1560" w:right="1585"/>
        <w:jc w:val="both"/>
        <w:rPr>
          <w:rFonts w:ascii="Century Gothic" w:hAnsi="Century Gothic"/>
          <w:b/>
          <w:bCs/>
          <w:sz w:val="20"/>
          <w:lang w:val="es-MX"/>
        </w:rPr>
      </w:pPr>
    </w:p>
    <w:p w:rsidR="00066841" w:rsidRPr="0050035B" w:rsidRDefault="00066841" w:rsidP="00066841">
      <w:pPr>
        <w:ind w:left="1560" w:right="1585"/>
        <w:jc w:val="both"/>
        <w:rPr>
          <w:rFonts w:ascii="Century Gothic" w:hAnsi="Century Gothic"/>
          <w:b/>
          <w:bCs/>
          <w:sz w:val="20"/>
          <w:lang w:val="es-MX"/>
        </w:rPr>
      </w:pPr>
    </w:p>
    <w:p w:rsidR="00066841" w:rsidRPr="0050035B" w:rsidRDefault="00066841" w:rsidP="00066841">
      <w:pPr>
        <w:ind w:left="1560" w:right="1585"/>
        <w:jc w:val="both"/>
        <w:rPr>
          <w:rFonts w:ascii="Century Gothic" w:hAnsi="Century Gothic"/>
          <w:b/>
          <w:bCs/>
          <w:sz w:val="20"/>
          <w:lang w:val="es-MX"/>
        </w:rPr>
      </w:pPr>
    </w:p>
    <w:p w:rsidR="00066841" w:rsidRPr="0050035B" w:rsidRDefault="00066841" w:rsidP="00066841">
      <w:pPr>
        <w:ind w:left="1560" w:right="1585"/>
        <w:jc w:val="both"/>
        <w:rPr>
          <w:rFonts w:ascii="Century Gothic" w:hAnsi="Century Gothic"/>
          <w:b/>
          <w:bCs/>
          <w:sz w:val="20"/>
          <w:lang w:val="es-MX"/>
        </w:rPr>
      </w:pPr>
    </w:p>
    <w:p w:rsidR="00066841" w:rsidRPr="0050035B" w:rsidRDefault="00066841" w:rsidP="00066841">
      <w:pPr>
        <w:ind w:left="1560" w:right="1585"/>
        <w:jc w:val="both"/>
        <w:rPr>
          <w:rFonts w:ascii="Century Gothic" w:hAnsi="Century Gothic"/>
          <w:b/>
          <w:bCs/>
          <w:sz w:val="20"/>
          <w:lang w:val="es-MX"/>
        </w:rPr>
      </w:pPr>
    </w:p>
    <w:p w:rsidR="00066841" w:rsidRPr="0050035B" w:rsidRDefault="00066841" w:rsidP="00066841">
      <w:pPr>
        <w:ind w:left="1560" w:right="1585"/>
        <w:jc w:val="both"/>
        <w:rPr>
          <w:rFonts w:ascii="Century Gothic" w:hAnsi="Century Gothic"/>
          <w:b/>
          <w:bCs/>
          <w:sz w:val="20"/>
          <w:lang w:val="es-MX"/>
        </w:rPr>
      </w:pPr>
    </w:p>
    <w:p w:rsidR="00066841" w:rsidRPr="0050035B" w:rsidRDefault="00066841" w:rsidP="00066841">
      <w:pPr>
        <w:ind w:left="1560" w:right="1585"/>
        <w:jc w:val="both"/>
        <w:rPr>
          <w:rFonts w:ascii="Century Gothic" w:hAnsi="Century Gothic"/>
          <w:b/>
          <w:bCs/>
          <w:sz w:val="20"/>
          <w:lang w:val="es-MX"/>
        </w:rPr>
      </w:pPr>
    </w:p>
    <w:p w:rsidR="00066841" w:rsidRDefault="00066841" w:rsidP="0016640B">
      <w:pPr>
        <w:ind w:left="2268" w:right="1585"/>
        <w:jc w:val="both"/>
        <w:rPr>
          <w:rFonts w:ascii="Century Gothic" w:hAnsi="Century Gothic"/>
          <w:b/>
          <w:bCs/>
          <w:sz w:val="20"/>
          <w:lang w:val="es-MX"/>
        </w:rPr>
      </w:pPr>
    </w:p>
    <w:p w:rsidR="0016640B" w:rsidRPr="0050035B" w:rsidRDefault="0016640B" w:rsidP="0016640B">
      <w:pPr>
        <w:ind w:left="2268" w:right="1585"/>
        <w:jc w:val="both"/>
        <w:rPr>
          <w:rFonts w:ascii="Century Gothic" w:hAnsi="Century Gothic"/>
          <w:sz w:val="20"/>
          <w:lang w:val="es-MX"/>
        </w:rPr>
      </w:pPr>
      <w:r w:rsidRPr="0050035B">
        <w:rPr>
          <w:rFonts w:ascii="Century Gothic" w:hAnsi="Century Gothic"/>
          <w:b/>
          <w:bCs/>
          <w:sz w:val="20"/>
          <w:lang w:val="es-MX"/>
        </w:rPr>
        <w:t>Fuente</w:t>
      </w:r>
      <w:r w:rsidRPr="0050035B">
        <w:rPr>
          <w:rFonts w:ascii="Century Gothic" w:hAnsi="Century Gothic"/>
          <w:sz w:val="20"/>
          <w:lang w:val="es-MX"/>
        </w:rPr>
        <w:t>: Criterios Generales de Política Económica para la Iniciativa de Ley de Ingresos y el Proyecto de Presupuesto de Egresos de la Federación, correspondientes al ejercicio fiscal 2022.</w:t>
      </w:r>
    </w:p>
    <w:p w:rsidR="0016640B" w:rsidRPr="0050035B" w:rsidRDefault="0016640B" w:rsidP="00A26E5B">
      <w:pPr>
        <w:spacing w:line="360" w:lineRule="auto"/>
        <w:jc w:val="both"/>
        <w:rPr>
          <w:rFonts w:ascii="Century Gothic" w:hAnsi="Century Gothic"/>
          <w:lang w:val="es-MX"/>
        </w:rPr>
      </w:pPr>
    </w:p>
    <w:p w:rsidR="0016640B" w:rsidRPr="0050035B" w:rsidRDefault="0016640B" w:rsidP="007130D6">
      <w:pPr>
        <w:spacing w:line="360" w:lineRule="auto"/>
        <w:ind w:firstLine="720"/>
        <w:jc w:val="both"/>
        <w:rPr>
          <w:rFonts w:ascii="Century Gothic" w:hAnsi="Century Gothic"/>
          <w:lang w:val="es-MX"/>
        </w:rPr>
      </w:pPr>
      <w:r w:rsidRPr="0050035B">
        <w:rPr>
          <w:rFonts w:ascii="Century Gothic" w:hAnsi="Century Gothic"/>
          <w:lang w:val="es-MX"/>
        </w:rPr>
        <w:t xml:space="preserve"> A manera de ejemplo, el consumo privado registró un crecimiento anual de 7.9% en el periodo enero-junio de 2021, apoyado por el buen desempeño de los empleos, el avance en los salarios, además de los ingresos por remesas, recuperando en junio el 97.3% de su nivel previo a la pandemia de febrero de 2020</w:t>
      </w:r>
      <w:r w:rsidR="00066841">
        <w:rPr>
          <w:rFonts w:ascii="Century Gothic" w:hAnsi="Century Gothic"/>
          <w:lang w:val="es-MX"/>
        </w:rPr>
        <w:t>, como se puede ver en la gráfica 2.5</w:t>
      </w:r>
      <w:r w:rsidRPr="0050035B">
        <w:rPr>
          <w:rFonts w:ascii="Century Gothic" w:hAnsi="Century Gothic"/>
          <w:lang w:val="es-MX"/>
        </w:rPr>
        <w:t>.</w:t>
      </w:r>
    </w:p>
    <w:p w:rsidR="0016640B" w:rsidRPr="0050035B" w:rsidRDefault="0016640B" w:rsidP="00A26E5B">
      <w:pPr>
        <w:spacing w:line="360" w:lineRule="auto"/>
        <w:jc w:val="both"/>
        <w:rPr>
          <w:rFonts w:ascii="Century Gothic" w:hAnsi="Century Gothic"/>
          <w:lang w:val="es-MX"/>
        </w:rPr>
      </w:pPr>
    </w:p>
    <w:p w:rsidR="0016640B" w:rsidRPr="0050035B" w:rsidRDefault="0016640B" w:rsidP="0016640B">
      <w:pPr>
        <w:spacing w:line="360" w:lineRule="auto"/>
        <w:ind w:firstLine="720"/>
        <w:jc w:val="both"/>
        <w:rPr>
          <w:rFonts w:ascii="Century Gothic" w:hAnsi="Century Gothic"/>
          <w:lang w:val="es-MX"/>
        </w:rPr>
      </w:pPr>
      <w:r w:rsidRPr="0050035B">
        <w:rPr>
          <w:rFonts w:ascii="Century Gothic" w:hAnsi="Century Gothic"/>
          <w:lang w:val="es-MX"/>
        </w:rPr>
        <w:t xml:space="preserve">Por su parte, la inversión fija bruta ha mostrado una notoria recuperación y se encontró en junio de 2021 al 95.6% del nivel previo a la pandemia. Durante enero-junio de 2021, este indicador aumentó a una tasa anual de 11.1% donde el crecimiento de la inversión en maquinaria y equipo nacional e importado fue de 21.3 y 16.7%; y en construcción, de 6.2%. Al representar en conjunto el 80.5% del PIB, la recuperación del consumo privado y la inversión explica la mayor parte de la reactivación observada </w:t>
      </w:r>
      <w:r w:rsidRPr="0050035B">
        <w:rPr>
          <w:rFonts w:ascii="Century Gothic" w:hAnsi="Century Gothic"/>
          <w:lang w:val="es-MX"/>
        </w:rPr>
        <w:lastRenderedPageBreak/>
        <w:t xml:space="preserve">entre el segundo trimestre de 2020 y el segundo trimestre de 2021, con base en información del INEGI. </w:t>
      </w:r>
    </w:p>
    <w:p w:rsidR="0016640B" w:rsidRPr="0050035B" w:rsidRDefault="0016640B" w:rsidP="00A26E5B">
      <w:pPr>
        <w:spacing w:line="360" w:lineRule="auto"/>
        <w:jc w:val="both"/>
        <w:rPr>
          <w:rFonts w:ascii="Century Gothic" w:hAnsi="Century Gothic"/>
          <w:lang w:val="es-MX"/>
        </w:rPr>
      </w:pPr>
    </w:p>
    <w:p w:rsidR="0016640B" w:rsidRPr="0050035B" w:rsidRDefault="0016640B" w:rsidP="0016640B">
      <w:pPr>
        <w:spacing w:line="360" w:lineRule="auto"/>
        <w:ind w:firstLine="720"/>
        <w:jc w:val="both"/>
        <w:rPr>
          <w:rFonts w:ascii="Century Gothic" w:hAnsi="Century Gothic"/>
          <w:lang w:val="es-MX"/>
        </w:rPr>
      </w:pPr>
      <w:r w:rsidRPr="0050035B">
        <w:rPr>
          <w:rFonts w:ascii="Century Gothic" w:hAnsi="Century Gothic"/>
          <w:lang w:val="es-MX"/>
        </w:rPr>
        <w:t>A nivel sectorial, durante la primera mitad del año el PIB agropecuario creció a una tasa anual de 4.5%, siendo el sector menos afectado durante la pandemia debido al incremento en la demanda de productos agrícolas. Con respecto a la PIB industrial, aumentó a una tasa anual de 10.5% en el primer semestre del año como resultado de la implementación de medidas de distanciamiento social más flexibles. En segundo lugar, el sector de la construcción exhibió un crecimiento de 9.5%, con aumentos de 9.7% en la edificación y de 19.6% en los trabajos especializados. En tercer lugar, la minería creció 1.6% relacionado con un aumento de la plataforma petrolera de 1.2%. En cuarto lugar, la generación de electricidad y el suministro de agua y gas registró un decremento anual de 0.9% por el desabasto de gas en febrero de 2021</w:t>
      </w:r>
      <w:r w:rsidR="00066841">
        <w:rPr>
          <w:rFonts w:ascii="Century Gothic" w:hAnsi="Century Gothic"/>
          <w:lang w:val="es-MX"/>
        </w:rPr>
        <w:t>.</w:t>
      </w:r>
    </w:p>
    <w:p w:rsidR="00024D36" w:rsidRPr="0050035B" w:rsidRDefault="006E4F2B" w:rsidP="00024D36">
      <w:pPr>
        <w:spacing w:line="360" w:lineRule="auto"/>
        <w:ind w:firstLine="720"/>
        <w:jc w:val="center"/>
        <w:rPr>
          <w:rFonts w:ascii="Century Gothic" w:hAnsi="Century Gothic"/>
          <w:sz w:val="22"/>
          <w:szCs w:val="22"/>
          <w:lang w:val="es-MX"/>
        </w:rPr>
      </w:pPr>
      <w:r w:rsidRPr="0050035B">
        <w:rPr>
          <w:noProof/>
          <w:lang w:val="es-MX" w:eastAsia="es-MX"/>
        </w:rPr>
        <w:drawing>
          <wp:anchor distT="0" distB="0" distL="114300" distR="114300" simplePos="0" relativeHeight="251740160" behindDoc="1" locked="0" layoutInCell="1" allowOverlap="1" wp14:anchorId="6DF8E43E" wp14:editId="7692287E">
            <wp:simplePos x="0" y="0"/>
            <wp:positionH relativeFrom="column">
              <wp:posOffset>1697870</wp:posOffset>
            </wp:positionH>
            <wp:positionV relativeFrom="paragraph">
              <wp:posOffset>187325</wp:posOffset>
            </wp:positionV>
            <wp:extent cx="2768733" cy="2442084"/>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68733" cy="2442084"/>
                    </a:xfrm>
                    <a:prstGeom prst="rect">
                      <a:avLst/>
                    </a:prstGeom>
                  </pic:spPr>
                </pic:pic>
              </a:graphicData>
            </a:graphic>
            <wp14:sizeRelH relativeFrom="margin">
              <wp14:pctWidth>0</wp14:pctWidth>
            </wp14:sizeRelH>
            <wp14:sizeRelV relativeFrom="margin">
              <wp14:pctHeight>0</wp14:pctHeight>
            </wp14:sizeRelV>
          </wp:anchor>
        </w:drawing>
      </w:r>
      <w:r w:rsidR="00024D36" w:rsidRPr="007130D6">
        <w:rPr>
          <w:rFonts w:ascii="Century Gothic" w:hAnsi="Century Gothic"/>
          <w:b/>
          <w:sz w:val="22"/>
          <w:szCs w:val="22"/>
          <w:lang w:val="es-MX"/>
        </w:rPr>
        <w:t>Gráfica 2.</w:t>
      </w:r>
      <w:r w:rsidR="007130D6" w:rsidRPr="007130D6">
        <w:rPr>
          <w:rFonts w:ascii="Century Gothic" w:hAnsi="Century Gothic"/>
          <w:b/>
          <w:sz w:val="22"/>
          <w:szCs w:val="22"/>
          <w:lang w:val="es-MX"/>
        </w:rPr>
        <w:t>6</w:t>
      </w:r>
      <w:r w:rsidR="00024D36" w:rsidRPr="007130D6">
        <w:rPr>
          <w:rFonts w:ascii="Century Gothic" w:hAnsi="Century Gothic"/>
          <w:b/>
          <w:sz w:val="22"/>
          <w:szCs w:val="22"/>
          <w:lang w:val="es-MX"/>
        </w:rPr>
        <w:t>.</w:t>
      </w:r>
      <w:r w:rsidR="00024D36" w:rsidRPr="007130D6">
        <w:rPr>
          <w:rFonts w:ascii="Century Gothic" w:hAnsi="Century Gothic"/>
          <w:sz w:val="22"/>
          <w:szCs w:val="22"/>
          <w:lang w:val="es-MX"/>
        </w:rPr>
        <w:t xml:space="preserve"> </w:t>
      </w:r>
      <w:r w:rsidR="007130D6" w:rsidRPr="007130D6">
        <w:rPr>
          <w:rFonts w:ascii="Century Gothic" w:hAnsi="Century Gothic"/>
          <w:sz w:val="22"/>
          <w:szCs w:val="22"/>
          <w:lang w:val="es-MX"/>
        </w:rPr>
        <w:t>Tasa de Desocupación 2018-2021</w:t>
      </w:r>
      <w:r w:rsidR="00024D36" w:rsidRPr="007130D6">
        <w:rPr>
          <w:rFonts w:ascii="Century Gothic" w:hAnsi="Century Gothic"/>
          <w:sz w:val="22"/>
          <w:szCs w:val="22"/>
          <w:lang w:val="es-MX"/>
        </w:rPr>
        <w:t>.</w:t>
      </w:r>
      <w:r w:rsidR="00024D36" w:rsidRPr="0050035B">
        <w:rPr>
          <w:rFonts w:ascii="Century Gothic" w:hAnsi="Century Gothic"/>
          <w:sz w:val="22"/>
          <w:szCs w:val="22"/>
          <w:lang w:val="es-MX"/>
        </w:rPr>
        <w:t xml:space="preserve"> </w:t>
      </w:r>
    </w:p>
    <w:p w:rsidR="00024D36" w:rsidRPr="0050035B" w:rsidRDefault="00024D36" w:rsidP="00024D36">
      <w:pPr>
        <w:spacing w:line="360" w:lineRule="auto"/>
        <w:ind w:firstLine="720"/>
        <w:jc w:val="both"/>
        <w:rPr>
          <w:rFonts w:ascii="Century Gothic" w:hAnsi="Century Gothic"/>
          <w:lang w:val="es-MX"/>
        </w:rPr>
      </w:pPr>
    </w:p>
    <w:p w:rsidR="00024D36" w:rsidRPr="0050035B" w:rsidRDefault="00024D36" w:rsidP="00024D36">
      <w:pPr>
        <w:spacing w:line="360" w:lineRule="auto"/>
        <w:ind w:firstLine="720"/>
        <w:jc w:val="both"/>
        <w:rPr>
          <w:rFonts w:ascii="Century Gothic" w:hAnsi="Century Gothic"/>
          <w:sz w:val="20"/>
          <w:lang w:val="es-MX"/>
        </w:rPr>
      </w:pPr>
    </w:p>
    <w:p w:rsidR="00024D36" w:rsidRPr="0050035B" w:rsidRDefault="00024D36" w:rsidP="00024D36">
      <w:pPr>
        <w:spacing w:line="360" w:lineRule="auto"/>
        <w:ind w:firstLine="720"/>
        <w:jc w:val="both"/>
        <w:rPr>
          <w:rFonts w:ascii="Century Gothic" w:hAnsi="Century Gothic"/>
          <w:lang w:val="es-MX"/>
        </w:rPr>
      </w:pPr>
    </w:p>
    <w:p w:rsidR="00024D36" w:rsidRPr="0050035B" w:rsidRDefault="00024D36" w:rsidP="00024D36">
      <w:pPr>
        <w:spacing w:line="360" w:lineRule="auto"/>
        <w:ind w:firstLine="720"/>
        <w:jc w:val="both"/>
        <w:rPr>
          <w:rFonts w:ascii="Century Gothic" w:hAnsi="Century Gothic"/>
          <w:lang w:val="es-MX"/>
        </w:rPr>
      </w:pPr>
    </w:p>
    <w:p w:rsidR="00024D36" w:rsidRPr="0050035B" w:rsidRDefault="00024D36" w:rsidP="00024D36">
      <w:pPr>
        <w:spacing w:line="360" w:lineRule="auto"/>
        <w:ind w:firstLine="720"/>
        <w:jc w:val="both"/>
        <w:rPr>
          <w:rFonts w:ascii="Century Gothic" w:hAnsi="Century Gothic"/>
          <w:sz w:val="14"/>
          <w:lang w:val="es-MX"/>
        </w:rPr>
      </w:pPr>
    </w:p>
    <w:p w:rsidR="00024D36" w:rsidRPr="0050035B" w:rsidRDefault="00024D36" w:rsidP="00024D36">
      <w:pPr>
        <w:spacing w:line="360" w:lineRule="auto"/>
        <w:ind w:firstLine="720"/>
        <w:jc w:val="both"/>
        <w:rPr>
          <w:rFonts w:ascii="Century Gothic" w:hAnsi="Century Gothic"/>
          <w:sz w:val="16"/>
          <w:lang w:val="es-MX"/>
        </w:rPr>
      </w:pPr>
    </w:p>
    <w:p w:rsidR="00024D36" w:rsidRPr="0050035B" w:rsidRDefault="00024D36" w:rsidP="00024D36">
      <w:pPr>
        <w:ind w:left="1560" w:right="1585"/>
        <w:jc w:val="both"/>
        <w:rPr>
          <w:rFonts w:ascii="Century Gothic" w:hAnsi="Century Gothic"/>
          <w:b/>
          <w:bCs/>
          <w:sz w:val="20"/>
          <w:lang w:val="es-MX"/>
        </w:rPr>
      </w:pPr>
    </w:p>
    <w:p w:rsidR="00024D36" w:rsidRPr="0050035B" w:rsidRDefault="00024D36" w:rsidP="00024D36">
      <w:pPr>
        <w:ind w:left="1560" w:right="1585"/>
        <w:jc w:val="both"/>
        <w:rPr>
          <w:rFonts w:ascii="Century Gothic" w:hAnsi="Century Gothic"/>
          <w:b/>
          <w:bCs/>
          <w:sz w:val="20"/>
          <w:lang w:val="es-MX"/>
        </w:rPr>
      </w:pPr>
    </w:p>
    <w:p w:rsidR="00024D36" w:rsidRPr="0050035B" w:rsidRDefault="00024D36" w:rsidP="00024D36">
      <w:pPr>
        <w:ind w:left="1560" w:right="1585"/>
        <w:jc w:val="both"/>
        <w:rPr>
          <w:rFonts w:ascii="Century Gothic" w:hAnsi="Century Gothic"/>
          <w:b/>
          <w:bCs/>
          <w:sz w:val="20"/>
          <w:lang w:val="es-MX"/>
        </w:rPr>
      </w:pPr>
    </w:p>
    <w:p w:rsidR="00024D36" w:rsidRPr="0050035B" w:rsidRDefault="00024D36" w:rsidP="00024D36">
      <w:pPr>
        <w:ind w:left="1560" w:right="1585"/>
        <w:jc w:val="both"/>
        <w:rPr>
          <w:rFonts w:ascii="Century Gothic" w:hAnsi="Century Gothic"/>
          <w:b/>
          <w:bCs/>
          <w:sz w:val="20"/>
          <w:lang w:val="es-MX"/>
        </w:rPr>
      </w:pPr>
    </w:p>
    <w:p w:rsidR="00024D36" w:rsidRPr="0050035B" w:rsidRDefault="00024D36" w:rsidP="00024D36">
      <w:pPr>
        <w:ind w:left="1560" w:right="1585"/>
        <w:jc w:val="both"/>
        <w:rPr>
          <w:rFonts w:ascii="Century Gothic" w:hAnsi="Century Gothic"/>
          <w:b/>
          <w:bCs/>
          <w:sz w:val="20"/>
          <w:lang w:val="es-MX"/>
        </w:rPr>
      </w:pPr>
    </w:p>
    <w:p w:rsidR="00024D36" w:rsidRPr="0050035B" w:rsidRDefault="00024D36" w:rsidP="00024D36">
      <w:pPr>
        <w:ind w:left="1560" w:right="1585"/>
        <w:jc w:val="both"/>
        <w:rPr>
          <w:rFonts w:ascii="Century Gothic" w:hAnsi="Century Gothic"/>
          <w:b/>
          <w:bCs/>
          <w:sz w:val="20"/>
          <w:lang w:val="es-MX"/>
        </w:rPr>
      </w:pPr>
    </w:p>
    <w:p w:rsidR="00024D36" w:rsidRPr="0050035B" w:rsidRDefault="00024D36" w:rsidP="00024D36">
      <w:pPr>
        <w:ind w:left="1560" w:right="1585"/>
        <w:jc w:val="both"/>
        <w:rPr>
          <w:rFonts w:ascii="Century Gothic" w:hAnsi="Century Gothic"/>
          <w:b/>
          <w:bCs/>
          <w:sz w:val="20"/>
          <w:lang w:val="es-MX"/>
        </w:rPr>
      </w:pPr>
    </w:p>
    <w:p w:rsidR="00024D36" w:rsidRPr="0050035B" w:rsidRDefault="00024D36" w:rsidP="00024D36">
      <w:pPr>
        <w:ind w:left="2268" w:right="1585"/>
        <w:jc w:val="both"/>
        <w:rPr>
          <w:rFonts w:ascii="Century Gothic" w:hAnsi="Century Gothic"/>
          <w:sz w:val="20"/>
          <w:lang w:val="es-MX"/>
        </w:rPr>
      </w:pPr>
      <w:r w:rsidRPr="0050035B">
        <w:rPr>
          <w:rFonts w:ascii="Century Gothic" w:hAnsi="Century Gothic"/>
          <w:b/>
          <w:bCs/>
          <w:sz w:val="20"/>
          <w:lang w:val="es-MX"/>
        </w:rPr>
        <w:t>Fuente</w:t>
      </w:r>
      <w:r w:rsidRPr="0050035B">
        <w:rPr>
          <w:rFonts w:ascii="Century Gothic" w:hAnsi="Century Gothic"/>
          <w:sz w:val="20"/>
          <w:lang w:val="es-MX"/>
        </w:rPr>
        <w:t>: Criterios Generales de Política Económica para la Iniciativa de Ley de Ingresos y el Proyecto de Presupuesto de Egresos de la Federación, correspondientes al ejercicio fiscal 2022.</w:t>
      </w:r>
    </w:p>
    <w:p w:rsidR="0016640B" w:rsidRPr="0050035B" w:rsidRDefault="0016640B" w:rsidP="00A26E5B">
      <w:pPr>
        <w:spacing w:line="360" w:lineRule="auto"/>
        <w:jc w:val="both"/>
        <w:rPr>
          <w:rFonts w:ascii="Century Gothic" w:hAnsi="Century Gothic"/>
          <w:lang w:val="es-MX"/>
        </w:rPr>
      </w:pPr>
    </w:p>
    <w:p w:rsidR="00024D36" w:rsidRDefault="00024D36" w:rsidP="00024D36">
      <w:pPr>
        <w:spacing w:line="360" w:lineRule="auto"/>
        <w:ind w:firstLine="720"/>
        <w:jc w:val="both"/>
        <w:rPr>
          <w:rFonts w:ascii="Century Gothic" w:hAnsi="Century Gothic"/>
          <w:lang w:val="es-MX"/>
        </w:rPr>
      </w:pPr>
      <w:r w:rsidRPr="0050035B">
        <w:rPr>
          <w:rFonts w:ascii="Century Gothic" w:hAnsi="Century Gothic"/>
          <w:lang w:val="es-MX"/>
        </w:rPr>
        <w:lastRenderedPageBreak/>
        <w:t xml:space="preserve">En términos de empleo, de abril del año pasado a julio de 2021 se han creado 13 millones 642 mil empleos. Esta información muestra que en ese mes ya se recuperó con creces la pérdida de los 13 millones de empleos en el sector formal e informal debido a la pandemia </w:t>
      </w:r>
      <w:r w:rsidR="00C17543">
        <w:rPr>
          <w:rFonts w:ascii="Century Gothic" w:hAnsi="Century Gothic"/>
          <w:lang w:val="es-MX"/>
        </w:rPr>
        <w:t>del virus SARS-CoV2 (COVID-19)</w:t>
      </w:r>
      <w:r w:rsidRPr="0050035B">
        <w:rPr>
          <w:rFonts w:ascii="Century Gothic" w:hAnsi="Century Gothic"/>
          <w:lang w:val="es-MX"/>
        </w:rPr>
        <w:t xml:space="preserve">, lo que significa un balance positivo en la recuperación del mercado laboral. Al interior, destaca el empleo en los servicios profesionales, financieros y corporativos; en el sector agropecuario; en los restaurantes y hoteles; y la industria manufacturera que se recuperó a niveles </w:t>
      </w:r>
      <w:r w:rsidR="007130D6" w:rsidRPr="0050035B">
        <w:rPr>
          <w:rFonts w:ascii="Century Gothic" w:hAnsi="Century Gothic"/>
          <w:lang w:val="es-MX"/>
        </w:rPr>
        <w:t>prepandemia</w:t>
      </w:r>
      <w:r w:rsidRPr="0050035B">
        <w:rPr>
          <w:rFonts w:ascii="Century Gothic" w:hAnsi="Century Gothic"/>
          <w:lang w:val="es-MX"/>
        </w:rPr>
        <w:t>. A su vez, destaca una reducción de la brecha laboral, la cual alcanzó al cierre de junio un nivel de 26.4%, inferior al máximo observado en mayo de 2020 de 52.9%. De enero a julio de 2021, la tasa de desocupación nacional promedio se ubicó en 4.3% de la población económicamente activa, 1.2 puntos porcentuales menos respecto al 5.5% observado como tasa máxima de 2020, en junio.</w:t>
      </w:r>
    </w:p>
    <w:p w:rsidR="007130D6" w:rsidRPr="0050035B" w:rsidRDefault="007130D6" w:rsidP="00024D36">
      <w:pPr>
        <w:spacing w:line="360" w:lineRule="auto"/>
        <w:ind w:firstLine="720"/>
        <w:jc w:val="both"/>
        <w:rPr>
          <w:rFonts w:ascii="Century Gothic" w:hAnsi="Century Gothic"/>
          <w:lang w:val="es-MX"/>
        </w:rPr>
      </w:pPr>
    </w:p>
    <w:p w:rsidR="009466D2" w:rsidRPr="0050035B" w:rsidRDefault="007130D6" w:rsidP="00024D36">
      <w:pPr>
        <w:spacing w:line="360" w:lineRule="auto"/>
        <w:ind w:firstLine="720"/>
        <w:jc w:val="both"/>
        <w:rPr>
          <w:rFonts w:ascii="Century Gothic" w:hAnsi="Century Gothic"/>
          <w:lang w:val="es-MX"/>
        </w:rPr>
      </w:pPr>
      <w:r>
        <w:rPr>
          <w:rFonts w:ascii="Century Gothic" w:hAnsi="Century Gothic"/>
          <w:lang w:val="es-MX"/>
        </w:rPr>
        <w:t>L</w:t>
      </w:r>
      <w:r w:rsidR="00024D36" w:rsidRPr="0050035B">
        <w:rPr>
          <w:rFonts w:ascii="Century Gothic" w:hAnsi="Century Gothic"/>
          <w:lang w:val="es-MX"/>
        </w:rPr>
        <w:t xml:space="preserve">a recuperación económica de </w:t>
      </w:r>
      <w:r w:rsidRPr="0050035B">
        <w:rPr>
          <w:rFonts w:ascii="Century Gothic" w:hAnsi="Century Gothic"/>
          <w:lang w:val="es-MX"/>
        </w:rPr>
        <w:t>EE. UU.</w:t>
      </w:r>
      <w:r w:rsidR="00024D36" w:rsidRPr="0050035B">
        <w:rPr>
          <w:rFonts w:ascii="Century Gothic" w:hAnsi="Century Gothic"/>
          <w:lang w:val="es-MX"/>
        </w:rPr>
        <w:t xml:space="preserve"> ha beneficiado los envíos de remesas a México. Durante el periodo enero-julio de 2021, se registró un monto histórico en los ingresos provenientes de los migrantes mexicanos de 28,187 millones de dólares, equivalente a un crecimiento anual de 23.5%</w:t>
      </w:r>
    </w:p>
    <w:p w:rsidR="009466D2" w:rsidRPr="0050035B" w:rsidRDefault="009466D2" w:rsidP="00A26E5B">
      <w:pPr>
        <w:spacing w:line="360" w:lineRule="auto"/>
        <w:jc w:val="both"/>
        <w:rPr>
          <w:rFonts w:ascii="Century Gothic" w:hAnsi="Century Gothic"/>
          <w:lang w:val="es-MX"/>
        </w:rPr>
      </w:pPr>
    </w:p>
    <w:p w:rsidR="00024D36" w:rsidRPr="0050035B" w:rsidRDefault="00024D36" w:rsidP="00024D36">
      <w:pPr>
        <w:spacing w:line="360" w:lineRule="auto"/>
        <w:ind w:firstLine="720"/>
        <w:jc w:val="both"/>
        <w:rPr>
          <w:rFonts w:ascii="Century Gothic" w:hAnsi="Century Gothic"/>
          <w:lang w:val="es-MX"/>
        </w:rPr>
      </w:pPr>
      <w:r w:rsidRPr="0050035B">
        <w:rPr>
          <w:rFonts w:ascii="Century Gothic" w:hAnsi="Century Gothic"/>
          <w:lang w:val="es-MX"/>
        </w:rPr>
        <w:t>Con respecto al turismo, en junio de 2021 se registró un incremento de 12.8% mensual en los ingresos, con cifras ajustadas por estacionalidad. En comparación anual, este incremento fue 731.2%, y para el periodo enero- junio se observa un crecimiento de 20% respecto a lo registrado en el mismo periodo del año previo.</w:t>
      </w:r>
    </w:p>
    <w:p w:rsidR="00024D36" w:rsidRPr="0050035B" w:rsidRDefault="00024D36" w:rsidP="00024D36">
      <w:pPr>
        <w:spacing w:line="360" w:lineRule="auto"/>
        <w:ind w:firstLine="720"/>
        <w:jc w:val="both"/>
        <w:rPr>
          <w:rFonts w:ascii="Century Gothic" w:hAnsi="Century Gothic"/>
          <w:lang w:val="es-MX"/>
        </w:rPr>
      </w:pPr>
    </w:p>
    <w:p w:rsidR="00024D36" w:rsidRPr="0050035B" w:rsidRDefault="00024D36" w:rsidP="00024D36">
      <w:pPr>
        <w:spacing w:line="360" w:lineRule="auto"/>
        <w:ind w:firstLine="720"/>
        <w:jc w:val="both"/>
        <w:rPr>
          <w:rFonts w:ascii="Century Gothic" w:hAnsi="Century Gothic"/>
          <w:lang w:val="es-MX"/>
        </w:rPr>
      </w:pPr>
      <w:r w:rsidRPr="0050035B">
        <w:rPr>
          <w:rFonts w:ascii="Century Gothic" w:hAnsi="Century Gothic"/>
          <w:lang w:val="es-MX"/>
        </w:rPr>
        <w:t xml:space="preserve">En este marco, cabe destacar que la implementación extraordinaria de una serie de políticas y medidas en materia financiera abonaron tanto a </w:t>
      </w:r>
      <w:r w:rsidRPr="0050035B">
        <w:rPr>
          <w:rFonts w:ascii="Century Gothic" w:hAnsi="Century Gothic"/>
          <w:lang w:val="es-MX"/>
        </w:rPr>
        <w:lastRenderedPageBreak/>
        <w:t>la solidez del sector como a su correcto funcionamiento. Específicamente, se facilitó la reestructuración de 8.6 millones de créditos equivalentes a 1.4 billones de pesos o 6.1% del PIB a través de la emisión de los Criterios Contables Especiales. Además, se canalizaron apoyos por 258.5 mil millones de pesos entre abril de 2020 y mayo de 2021 por parte de la banca de desarrollo y a los distintos programas de préstamos personales y diferimiento de pagos implementados por FONACOT, ISSSTE, FOVISSSTE e INFONAVIT, los cuales impidieron que los retos experimentados en la economía real tuvieran un efecto negativo sobre el sector financiero mexicano y contribuyeron a la conservación de más de 2.4 millones de empleos.</w:t>
      </w:r>
    </w:p>
    <w:p w:rsidR="00024D36" w:rsidRPr="0050035B" w:rsidRDefault="00024D36" w:rsidP="00024D36">
      <w:pPr>
        <w:spacing w:line="360" w:lineRule="auto"/>
        <w:ind w:firstLine="720"/>
        <w:jc w:val="both"/>
        <w:rPr>
          <w:rFonts w:ascii="Century Gothic" w:hAnsi="Century Gothic"/>
          <w:lang w:val="es-MX"/>
        </w:rPr>
      </w:pPr>
    </w:p>
    <w:p w:rsidR="00024D36" w:rsidRPr="0050035B" w:rsidRDefault="00024D36" w:rsidP="00024D36">
      <w:pPr>
        <w:spacing w:line="360" w:lineRule="auto"/>
        <w:ind w:firstLine="720"/>
        <w:jc w:val="both"/>
        <w:rPr>
          <w:rFonts w:ascii="Century Gothic" w:hAnsi="Century Gothic"/>
          <w:lang w:val="es-MX"/>
        </w:rPr>
      </w:pPr>
      <w:r w:rsidRPr="0050035B">
        <w:rPr>
          <w:rFonts w:ascii="Century Gothic" w:hAnsi="Century Gothic"/>
          <w:lang w:val="es-MX"/>
        </w:rPr>
        <w:t xml:space="preserve">Durante los primeros siete meses de 2021 se continuó con el fortalecimiento de las fuentes más estables y permanentes de ingresos. Con respecto al componente tributario excluyendo el </w:t>
      </w:r>
      <w:r w:rsidR="00066841" w:rsidRPr="00066841">
        <w:rPr>
          <w:rFonts w:ascii="Century Gothic" w:hAnsi="Century Gothic"/>
          <w:lang w:val="es-MX"/>
        </w:rPr>
        <w:t xml:space="preserve">Impuesto Especial sobre Producción y Servicios </w:t>
      </w:r>
      <w:r w:rsidR="00066841">
        <w:rPr>
          <w:rFonts w:ascii="Century Gothic" w:hAnsi="Century Gothic"/>
          <w:lang w:val="es-MX"/>
        </w:rPr>
        <w:t>(</w:t>
      </w:r>
      <w:r w:rsidRPr="0050035B">
        <w:rPr>
          <w:rFonts w:ascii="Century Gothic" w:hAnsi="Century Gothic"/>
          <w:lang w:val="es-MX"/>
        </w:rPr>
        <w:t>IEPS</w:t>
      </w:r>
      <w:r w:rsidR="00066841">
        <w:rPr>
          <w:rFonts w:ascii="Century Gothic" w:hAnsi="Century Gothic"/>
          <w:lang w:val="es-MX"/>
        </w:rPr>
        <w:t>)</w:t>
      </w:r>
      <w:r w:rsidRPr="0050035B">
        <w:rPr>
          <w:rFonts w:ascii="Century Gothic" w:hAnsi="Century Gothic"/>
          <w:lang w:val="es-MX"/>
        </w:rPr>
        <w:t xml:space="preserve"> de combustibles, este presentó un crecimiento real anual de 4.0% respecto al periodo enero-julio de 2020, manteniéndose por encima del monto previsto en el programa en 60.9 mil millones de pesos como resultado de la estrategia para aumentar la eficiencia recaudatoria a través del combate frontal a la elusión y evasión fiscal. Por su parte, los ingresos no tributarios resultaron mayores en 18.5% anual en términos reales a los registrados en el mismo periodo del año pasado debido, principalmente, a la recuperación de fondos y fideicomisos y a la inclusión de ingresos derivados por operaciones de financiamiento (colocación sobre par).</w:t>
      </w:r>
    </w:p>
    <w:p w:rsidR="00024D36" w:rsidRPr="0050035B" w:rsidRDefault="00024D36" w:rsidP="00024D36">
      <w:pPr>
        <w:spacing w:line="360" w:lineRule="auto"/>
        <w:ind w:firstLine="720"/>
        <w:jc w:val="both"/>
        <w:rPr>
          <w:rFonts w:ascii="Century Gothic" w:hAnsi="Century Gothic"/>
          <w:lang w:val="es-MX"/>
        </w:rPr>
      </w:pPr>
    </w:p>
    <w:p w:rsidR="00024D36" w:rsidRPr="0050035B" w:rsidRDefault="00024D36" w:rsidP="00024D36">
      <w:pPr>
        <w:spacing w:line="360" w:lineRule="auto"/>
        <w:ind w:firstLine="720"/>
        <w:jc w:val="both"/>
        <w:rPr>
          <w:rFonts w:ascii="Century Gothic" w:hAnsi="Century Gothic"/>
          <w:lang w:val="es-MX"/>
        </w:rPr>
      </w:pPr>
      <w:r w:rsidRPr="0050035B">
        <w:rPr>
          <w:rFonts w:ascii="Century Gothic" w:hAnsi="Century Gothic"/>
          <w:lang w:val="es-MX"/>
        </w:rPr>
        <w:t xml:space="preserve">En este marco, las proyecciones del cierre de finanzas públicas para 2021 utilizan una tasa puntual de crecimiento anual de la economía de 6.3%. Lo anterior considera, en general, la evolución más reciente de las </w:t>
      </w:r>
      <w:r w:rsidRPr="0050035B">
        <w:rPr>
          <w:rFonts w:ascii="Century Gothic" w:hAnsi="Century Gothic"/>
          <w:lang w:val="es-MX"/>
        </w:rPr>
        <w:lastRenderedPageBreak/>
        <w:t>principales variables macroeconómicas y financieras de México y el mundo, el impacto positivo del programa de vacunación, así como los avances de la actividad económica y de la producción industrial de EE.UU.</w:t>
      </w:r>
    </w:p>
    <w:p w:rsidR="00024D36" w:rsidRPr="0050035B" w:rsidRDefault="00024D36" w:rsidP="00024D36">
      <w:pPr>
        <w:spacing w:line="360" w:lineRule="auto"/>
        <w:ind w:firstLine="720"/>
        <w:jc w:val="both"/>
        <w:rPr>
          <w:rFonts w:ascii="Century Gothic" w:hAnsi="Century Gothic"/>
          <w:lang w:val="es-MX"/>
        </w:rPr>
      </w:pPr>
    </w:p>
    <w:p w:rsidR="00024D36" w:rsidRPr="0050035B" w:rsidRDefault="00024D36" w:rsidP="00024D36">
      <w:pPr>
        <w:spacing w:line="360" w:lineRule="auto"/>
        <w:ind w:firstLine="720"/>
        <w:jc w:val="both"/>
        <w:rPr>
          <w:rFonts w:ascii="Century Gothic" w:hAnsi="Century Gothic"/>
          <w:lang w:val="es-MX"/>
        </w:rPr>
      </w:pPr>
      <w:r w:rsidRPr="0050035B">
        <w:rPr>
          <w:rFonts w:ascii="Century Gothic" w:hAnsi="Century Gothic"/>
          <w:lang w:val="es-MX"/>
        </w:rPr>
        <w:t xml:space="preserve">Uno de los principales factores que contribuirá a la consolidación de la recuperación económica y el inicio del crecimiento </w:t>
      </w:r>
      <w:r w:rsidR="007130D6" w:rsidRPr="0050035B">
        <w:rPr>
          <w:rFonts w:ascii="Century Gothic" w:hAnsi="Century Gothic"/>
          <w:lang w:val="es-MX"/>
        </w:rPr>
        <w:t>postpandemia</w:t>
      </w:r>
      <w:r w:rsidRPr="0050035B">
        <w:rPr>
          <w:rFonts w:ascii="Century Gothic" w:hAnsi="Century Gothic"/>
          <w:lang w:val="es-MX"/>
        </w:rPr>
        <w:t xml:space="preserve"> en 2022 será la conclusión del programa de vacunación, el cual inició en diciembre de 2020, y se estima finalice en el primer trimestre de 2022. La inmunización total de la población objetivo permitirá la reapertura de los sectores que fueron mayormente afectados debido a la alta interacción física que requieren para operar o que se llevan a cabo en espacios cerrados. A su vez, el restablecimiento de estos sectores desencadenará el crecimiento de otras actividades económicas ligadas directa e indirectamente a ellos.</w:t>
      </w:r>
    </w:p>
    <w:p w:rsidR="00024D36" w:rsidRPr="0050035B" w:rsidRDefault="00024D36" w:rsidP="00024D36">
      <w:pPr>
        <w:spacing w:line="360" w:lineRule="auto"/>
        <w:ind w:firstLine="720"/>
        <w:jc w:val="both"/>
        <w:rPr>
          <w:rFonts w:ascii="Century Gothic" w:hAnsi="Century Gothic"/>
          <w:lang w:val="es-MX"/>
        </w:rPr>
      </w:pPr>
    </w:p>
    <w:p w:rsidR="00024D36" w:rsidRDefault="00024D36" w:rsidP="00024D36">
      <w:pPr>
        <w:spacing w:line="360" w:lineRule="auto"/>
        <w:ind w:firstLine="720"/>
        <w:jc w:val="both"/>
        <w:rPr>
          <w:rFonts w:ascii="Century Gothic" w:hAnsi="Century Gothic"/>
          <w:lang w:val="es-MX"/>
        </w:rPr>
      </w:pPr>
      <w:r w:rsidRPr="0050035B">
        <w:rPr>
          <w:rFonts w:ascii="Century Gothic" w:hAnsi="Century Gothic"/>
          <w:lang w:val="es-MX"/>
        </w:rPr>
        <w:t xml:space="preserve">Del mismo modo, se espera que la posición sólida de la banca de desarrollo y la privada, reflejo de sus índices de capitalización superiores a los estándares internacionales y sus bajos índices de morosidad, será un elemento fundamental para financiar proyectos productivos con un impacto regional y sectorial, así como para incrementar la inclusión financiera. En cuanto a la demanda externa, se prevé que las exportaciones, los ingresos por turismo y las remesas serán beneficiados por el comportamiento y desempeño de la economía estadounidense. Además, se prevé que el nuevo empuje del Diálogo Económico de Alto Nivel ayudará a incrementar los beneficios del </w:t>
      </w:r>
      <w:r w:rsidR="00066841">
        <w:rPr>
          <w:rFonts w:ascii="Century Gothic" w:hAnsi="Century Gothic"/>
          <w:lang w:val="es-MX"/>
        </w:rPr>
        <w:t>A</w:t>
      </w:r>
      <w:r w:rsidR="00066841" w:rsidRPr="00066841">
        <w:rPr>
          <w:rFonts w:ascii="Century Gothic" w:hAnsi="Century Gothic"/>
          <w:lang w:val="es-MX"/>
        </w:rPr>
        <w:t xml:space="preserve">cuerdo comercial entre México, Estados Unidos y Canadá </w:t>
      </w:r>
      <w:r w:rsidR="00066841">
        <w:rPr>
          <w:rFonts w:ascii="Century Gothic" w:hAnsi="Century Gothic"/>
          <w:lang w:val="es-MX"/>
        </w:rPr>
        <w:t>(</w:t>
      </w:r>
      <w:r w:rsidRPr="0050035B">
        <w:rPr>
          <w:rFonts w:ascii="Century Gothic" w:hAnsi="Century Gothic"/>
          <w:lang w:val="es-MX"/>
        </w:rPr>
        <w:t>T-MEC</w:t>
      </w:r>
      <w:r w:rsidR="00066841">
        <w:rPr>
          <w:rFonts w:ascii="Century Gothic" w:hAnsi="Century Gothic"/>
          <w:lang w:val="es-MX"/>
        </w:rPr>
        <w:t>)</w:t>
      </w:r>
      <w:r w:rsidRPr="0050035B">
        <w:rPr>
          <w:rFonts w:ascii="Century Gothic" w:hAnsi="Century Gothic"/>
          <w:lang w:val="es-MX"/>
        </w:rPr>
        <w:t xml:space="preserve"> y detone la competitividad global del bloque de Norteamérica a través de, entre otras acciones, la reubicación de inversiones hacia México.</w:t>
      </w:r>
    </w:p>
    <w:p w:rsidR="000E2E88" w:rsidRPr="0050035B" w:rsidRDefault="00CF13F6" w:rsidP="00A26E5B">
      <w:pPr>
        <w:spacing w:line="360" w:lineRule="auto"/>
        <w:jc w:val="both"/>
        <w:rPr>
          <w:rFonts w:ascii="Century Gothic" w:hAnsi="Century Gothic"/>
          <w:b/>
          <w:lang w:val="es-MX"/>
        </w:rPr>
      </w:pPr>
      <w:r w:rsidRPr="0050035B">
        <w:rPr>
          <w:rFonts w:ascii="Century Gothic" w:hAnsi="Century Gothic"/>
          <w:b/>
          <w:lang w:val="es-MX"/>
        </w:rPr>
        <w:lastRenderedPageBreak/>
        <w:t>2.1.3</w:t>
      </w:r>
      <w:r w:rsidR="00EA3D6F" w:rsidRPr="0050035B">
        <w:rPr>
          <w:rFonts w:ascii="Century Gothic" w:hAnsi="Century Gothic"/>
          <w:b/>
          <w:lang w:val="es-MX"/>
        </w:rPr>
        <w:t xml:space="preserve">. </w:t>
      </w:r>
      <w:r w:rsidR="00FC650B" w:rsidRPr="0050035B">
        <w:rPr>
          <w:rFonts w:ascii="Century Gothic" w:hAnsi="Century Gothic"/>
          <w:b/>
          <w:lang w:val="es-MX"/>
        </w:rPr>
        <w:t>Producto Interno Bruto (PIB)</w:t>
      </w:r>
    </w:p>
    <w:p w:rsidR="00024D36" w:rsidRPr="0050035B" w:rsidRDefault="00024D36" w:rsidP="00024D36">
      <w:pPr>
        <w:spacing w:line="360" w:lineRule="auto"/>
        <w:jc w:val="both"/>
        <w:rPr>
          <w:rFonts w:ascii="Century Gothic" w:hAnsi="Century Gothic"/>
          <w:lang w:val="es-MX"/>
        </w:rPr>
      </w:pPr>
      <w:r w:rsidRPr="0050035B">
        <w:rPr>
          <w:rFonts w:ascii="Century Gothic" w:hAnsi="Century Gothic"/>
          <w:lang w:val="es-MX"/>
        </w:rPr>
        <w:t xml:space="preserve">Para 2022 se anticipan en general condiciones macroeconómicas y financieras favorables, con una disminución en las presiones inflacionarias a nivel global y estabilidad en los mercados financieros internacionales, debido a la mejoría en las perspectivas económicas mundiales y las medidas monetarias y fiscales extraordinarias de las grandes economías. </w:t>
      </w:r>
    </w:p>
    <w:p w:rsidR="00024D36" w:rsidRPr="0050035B" w:rsidRDefault="00024D36" w:rsidP="00024D36">
      <w:pPr>
        <w:spacing w:line="360" w:lineRule="auto"/>
        <w:ind w:firstLine="720"/>
        <w:jc w:val="both"/>
        <w:rPr>
          <w:rFonts w:ascii="Century Gothic" w:hAnsi="Century Gothic"/>
          <w:lang w:val="es-MX"/>
        </w:rPr>
      </w:pPr>
    </w:p>
    <w:p w:rsidR="006D7924" w:rsidRPr="0050035B" w:rsidRDefault="00024D36" w:rsidP="00024D36">
      <w:pPr>
        <w:spacing w:line="360" w:lineRule="auto"/>
        <w:ind w:firstLine="720"/>
        <w:jc w:val="both"/>
        <w:rPr>
          <w:rFonts w:ascii="Century Gothic" w:hAnsi="Century Gothic"/>
          <w:lang w:val="es-MX"/>
        </w:rPr>
      </w:pPr>
      <w:r w:rsidRPr="0050035B">
        <w:rPr>
          <w:rFonts w:ascii="Century Gothic" w:hAnsi="Century Gothic"/>
          <w:lang w:val="es-MX"/>
        </w:rPr>
        <w:t>Tomando en cuenta lo anterior, y considerando la revisión de la estimación de la actividad económica para el cierre de 2021, la SHCP utiliza un rango de crecimiento para la economía mexicana en 2022 de 3.6 a 4.6%. En particular, los cálculos de finanzas públicas consideran una tasa puntual de crecimiento de 4.1%</w:t>
      </w:r>
      <w:r w:rsidR="00066841">
        <w:rPr>
          <w:rFonts w:ascii="Century Gothic" w:hAnsi="Century Gothic"/>
          <w:lang w:val="es-MX"/>
        </w:rPr>
        <w:t>, como se puede apreciar en la gráfica 2.7.</w:t>
      </w:r>
    </w:p>
    <w:p w:rsidR="00024D36" w:rsidRPr="0050035B" w:rsidRDefault="00024D36" w:rsidP="00024D36">
      <w:pPr>
        <w:spacing w:line="360" w:lineRule="auto"/>
        <w:ind w:firstLine="720"/>
        <w:jc w:val="both"/>
        <w:rPr>
          <w:rFonts w:ascii="Century Gothic" w:hAnsi="Century Gothic"/>
          <w:lang w:val="es-MX"/>
        </w:rPr>
      </w:pPr>
    </w:p>
    <w:p w:rsidR="00DC2811" w:rsidRPr="007A3904" w:rsidRDefault="00DC2811" w:rsidP="009466D2">
      <w:pPr>
        <w:jc w:val="center"/>
        <w:rPr>
          <w:rFonts w:ascii="Century Gothic" w:hAnsi="Century Gothic"/>
          <w:sz w:val="22"/>
          <w:szCs w:val="22"/>
          <w:lang w:val="es-MX"/>
        </w:rPr>
      </w:pPr>
      <w:r w:rsidRPr="007A3904">
        <w:rPr>
          <w:rFonts w:ascii="Century Gothic" w:hAnsi="Century Gothic"/>
          <w:b/>
          <w:sz w:val="22"/>
          <w:szCs w:val="22"/>
          <w:lang w:val="es-MX"/>
        </w:rPr>
        <w:t>Gráfica 2.</w:t>
      </w:r>
      <w:r w:rsidR="007130D6" w:rsidRPr="007A3904">
        <w:rPr>
          <w:rFonts w:ascii="Century Gothic" w:hAnsi="Century Gothic"/>
          <w:b/>
          <w:sz w:val="22"/>
          <w:szCs w:val="22"/>
          <w:lang w:val="es-MX"/>
        </w:rPr>
        <w:t>7</w:t>
      </w:r>
      <w:r w:rsidR="00D243D7" w:rsidRPr="007A3904">
        <w:rPr>
          <w:rFonts w:ascii="Century Gothic" w:hAnsi="Century Gothic"/>
          <w:b/>
          <w:sz w:val="22"/>
          <w:szCs w:val="22"/>
          <w:lang w:val="es-MX"/>
        </w:rPr>
        <w:t>.</w:t>
      </w:r>
      <w:r w:rsidRPr="007A3904">
        <w:rPr>
          <w:rFonts w:ascii="Century Gothic" w:hAnsi="Century Gothic"/>
          <w:sz w:val="22"/>
          <w:szCs w:val="22"/>
          <w:lang w:val="es-MX"/>
        </w:rPr>
        <w:t xml:space="preserve"> Evolución del PIB y su variación anual.</w:t>
      </w:r>
    </w:p>
    <w:p w:rsidR="008326BD" w:rsidRPr="0050035B" w:rsidRDefault="00A26E5B" w:rsidP="009466D2">
      <w:pPr>
        <w:jc w:val="center"/>
        <w:rPr>
          <w:rFonts w:ascii="Century Gothic" w:hAnsi="Century Gothic"/>
          <w:sz w:val="22"/>
          <w:szCs w:val="22"/>
          <w:lang w:val="es-MX"/>
        </w:rPr>
      </w:pPr>
      <w:r w:rsidRPr="007A3904">
        <w:rPr>
          <w:rFonts w:ascii="Century Gothic" w:hAnsi="Century Gothic"/>
          <w:sz w:val="22"/>
          <w:szCs w:val="22"/>
          <w:lang w:val="es-MX"/>
        </w:rPr>
        <w:t xml:space="preserve"> </w:t>
      </w:r>
      <w:r w:rsidR="008326BD" w:rsidRPr="007A3904">
        <w:rPr>
          <w:rFonts w:ascii="Century Gothic" w:hAnsi="Century Gothic"/>
          <w:sz w:val="22"/>
          <w:szCs w:val="22"/>
          <w:lang w:val="es-MX"/>
        </w:rPr>
        <w:t>(Estimaciones de la SHCP para 201</w:t>
      </w:r>
      <w:r w:rsidR="00024D36" w:rsidRPr="007A3904">
        <w:rPr>
          <w:rFonts w:ascii="Century Gothic" w:hAnsi="Century Gothic"/>
          <w:sz w:val="22"/>
          <w:szCs w:val="22"/>
          <w:lang w:val="es-MX"/>
        </w:rPr>
        <w:t>8</w:t>
      </w:r>
      <w:r w:rsidR="008326BD" w:rsidRPr="007A3904">
        <w:rPr>
          <w:rFonts w:ascii="Century Gothic" w:hAnsi="Century Gothic"/>
          <w:sz w:val="22"/>
          <w:szCs w:val="22"/>
          <w:lang w:val="es-MX"/>
        </w:rPr>
        <w:t xml:space="preserve"> y </w:t>
      </w:r>
      <w:r w:rsidR="00677B64" w:rsidRPr="007A3904">
        <w:rPr>
          <w:rFonts w:ascii="Century Gothic" w:hAnsi="Century Gothic"/>
          <w:sz w:val="22"/>
          <w:szCs w:val="22"/>
          <w:lang w:val="es-MX"/>
        </w:rPr>
        <w:t>202</w:t>
      </w:r>
      <w:r w:rsidR="00024D36" w:rsidRPr="007A3904">
        <w:rPr>
          <w:rFonts w:ascii="Century Gothic" w:hAnsi="Century Gothic"/>
          <w:sz w:val="22"/>
          <w:szCs w:val="22"/>
          <w:lang w:val="es-MX"/>
        </w:rPr>
        <w:t>2</w:t>
      </w:r>
      <w:r w:rsidR="008326BD" w:rsidRPr="007A3904">
        <w:rPr>
          <w:rFonts w:ascii="Century Gothic" w:hAnsi="Century Gothic"/>
          <w:lang w:val="es-MX"/>
        </w:rPr>
        <w:t>)</w:t>
      </w:r>
    </w:p>
    <w:p w:rsidR="00DC2811" w:rsidRPr="0050035B" w:rsidRDefault="00024D36" w:rsidP="00CB7F3E">
      <w:pPr>
        <w:spacing w:line="360" w:lineRule="auto"/>
        <w:ind w:firstLine="708"/>
        <w:jc w:val="both"/>
        <w:rPr>
          <w:rFonts w:ascii="Century Gothic" w:hAnsi="Century Gothic"/>
          <w:lang w:val="es-MX"/>
        </w:rPr>
      </w:pPr>
      <w:r w:rsidRPr="0050035B">
        <w:rPr>
          <w:noProof/>
          <w:lang w:val="es-MX" w:eastAsia="es-MX"/>
        </w:rPr>
        <w:drawing>
          <wp:anchor distT="0" distB="0" distL="114300" distR="114300" simplePos="0" relativeHeight="251741184" behindDoc="1" locked="0" layoutInCell="1" allowOverlap="1" wp14:anchorId="58662C1E" wp14:editId="4EDEE14E">
            <wp:simplePos x="0" y="0"/>
            <wp:positionH relativeFrom="page">
              <wp:posOffset>2784143</wp:posOffset>
            </wp:positionH>
            <wp:positionV relativeFrom="paragraph">
              <wp:posOffset>9534</wp:posOffset>
            </wp:positionV>
            <wp:extent cx="2415654" cy="2015342"/>
            <wp:effectExtent l="0" t="0" r="3810" b="444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18758" cy="2017932"/>
                    </a:xfrm>
                    <a:prstGeom prst="rect">
                      <a:avLst/>
                    </a:prstGeom>
                  </pic:spPr>
                </pic:pic>
              </a:graphicData>
            </a:graphic>
            <wp14:sizeRelH relativeFrom="margin">
              <wp14:pctWidth>0</wp14:pctWidth>
            </wp14:sizeRelH>
            <wp14:sizeRelV relativeFrom="margin">
              <wp14:pctHeight>0</wp14:pctHeight>
            </wp14:sizeRelV>
          </wp:anchor>
        </w:drawing>
      </w:r>
    </w:p>
    <w:p w:rsidR="00DE654C" w:rsidRPr="0050035B" w:rsidRDefault="000C67F4" w:rsidP="00CB7F3E">
      <w:pPr>
        <w:spacing w:line="360" w:lineRule="auto"/>
        <w:jc w:val="both"/>
        <w:rPr>
          <w:rFonts w:ascii="Century Gothic" w:hAnsi="Century Gothic"/>
          <w:lang w:val="es-MX"/>
        </w:rPr>
      </w:pPr>
      <w:r w:rsidRPr="0050035B">
        <w:rPr>
          <w:rFonts w:ascii="Century Gothic" w:hAnsi="Century Gothic"/>
          <w:lang w:val="es-MX"/>
        </w:rPr>
        <w:tab/>
      </w:r>
      <w:r w:rsidRPr="0050035B">
        <w:rPr>
          <w:rFonts w:ascii="Century Gothic" w:hAnsi="Century Gothic"/>
          <w:lang w:val="es-MX"/>
        </w:rPr>
        <w:tab/>
      </w:r>
    </w:p>
    <w:p w:rsidR="00DE654C" w:rsidRPr="0050035B" w:rsidRDefault="00DE654C" w:rsidP="00CB7F3E">
      <w:pPr>
        <w:spacing w:line="360" w:lineRule="auto"/>
        <w:jc w:val="both"/>
        <w:rPr>
          <w:rFonts w:ascii="Century Gothic" w:hAnsi="Century Gothic"/>
          <w:lang w:val="es-MX"/>
        </w:rPr>
      </w:pPr>
    </w:p>
    <w:p w:rsidR="00DE654C" w:rsidRPr="0050035B" w:rsidRDefault="00DE654C" w:rsidP="00CB7F3E">
      <w:pPr>
        <w:spacing w:line="360" w:lineRule="auto"/>
        <w:jc w:val="both"/>
        <w:rPr>
          <w:rFonts w:ascii="Century Gothic" w:hAnsi="Century Gothic"/>
          <w:lang w:val="es-MX"/>
        </w:rPr>
      </w:pPr>
    </w:p>
    <w:p w:rsidR="00DE654C" w:rsidRPr="0050035B" w:rsidRDefault="00DE654C" w:rsidP="00CB7F3E">
      <w:pPr>
        <w:spacing w:line="360" w:lineRule="auto"/>
        <w:jc w:val="both"/>
        <w:rPr>
          <w:rFonts w:ascii="Century Gothic" w:hAnsi="Century Gothic"/>
          <w:lang w:val="es-MX"/>
        </w:rPr>
      </w:pPr>
    </w:p>
    <w:p w:rsidR="00DE654C" w:rsidRPr="0050035B" w:rsidRDefault="00DE654C" w:rsidP="00CB7F3E">
      <w:pPr>
        <w:spacing w:line="360" w:lineRule="auto"/>
        <w:jc w:val="both"/>
        <w:rPr>
          <w:rFonts w:ascii="Century Gothic" w:hAnsi="Century Gothic"/>
          <w:lang w:val="es-MX"/>
        </w:rPr>
      </w:pPr>
    </w:p>
    <w:p w:rsidR="008326BD" w:rsidRPr="0050035B" w:rsidRDefault="008326BD" w:rsidP="00CB7F3E">
      <w:pPr>
        <w:spacing w:line="360" w:lineRule="auto"/>
        <w:jc w:val="both"/>
        <w:rPr>
          <w:rFonts w:ascii="Century Gothic" w:hAnsi="Century Gothic"/>
          <w:lang w:val="es-MX"/>
        </w:rPr>
      </w:pPr>
    </w:p>
    <w:p w:rsidR="00A26E5B" w:rsidRPr="0050035B" w:rsidRDefault="00140CC6" w:rsidP="00140CC6">
      <w:pPr>
        <w:ind w:left="1560" w:right="1585"/>
        <w:jc w:val="both"/>
        <w:rPr>
          <w:rFonts w:ascii="Century Gothic" w:hAnsi="Century Gothic"/>
          <w:sz w:val="20"/>
          <w:lang w:val="es-MX"/>
        </w:rPr>
      </w:pPr>
      <w:r w:rsidRPr="0050035B">
        <w:rPr>
          <w:rFonts w:ascii="Century Gothic" w:hAnsi="Century Gothic"/>
          <w:b/>
          <w:bCs/>
          <w:sz w:val="20"/>
          <w:lang w:val="es-MX"/>
        </w:rPr>
        <w:t>Fuente</w:t>
      </w:r>
      <w:r w:rsidRPr="0050035B">
        <w:rPr>
          <w:rFonts w:ascii="Century Gothic" w:hAnsi="Century Gothic"/>
          <w:sz w:val="20"/>
          <w:lang w:val="es-MX"/>
        </w:rPr>
        <w:t>: Criterios Generales de Política Económica para la Iniciativa de Ley de Ingresos y el Proyecto de Presupuesto de Egresos de la Federación, correspondientes al ejercicio fiscal 202</w:t>
      </w:r>
      <w:r w:rsidR="00024D36" w:rsidRPr="0050035B">
        <w:rPr>
          <w:rFonts w:ascii="Century Gothic" w:hAnsi="Century Gothic"/>
          <w:sz w:val="20"/>
          <w:lang w:val="es-MX"/>
        </w:rPr>
        <w:t>2</w:t>
      </w:r>
      <w:r w:rsidRPr="0050035B">
        <w:rPr>
          <w:rFonts w:ascii="Century Gothic" w:hAnsi="Century Gothic"/>
          <w:sz w:val="20"/>
          <w:lang w:val="es-MX"/>
        </w:rPr>
        <w:t>.</w:t>
      </w:r>
    </w:p>
    <w:p w:rsidR="00140CC6" w:rsidRPr="0050035B" w:rsidRDefault="00140CC6" w:rsidP="00A26E5B">
      <w:pPr>
        <w:spacing w:line="360" w:lineRule="auto"/>
        <w:ind w:firstLine="720"/>
        <w:jc w:val="both"/>
        <w:rPr>
          <w:rFonts w:ascii="Century Gothic" w:hAnsi="Century Gothic"/>
          <w:lang w:val="es-MX"/>
        </w:rPr>
      </w:pPr>
    </w:p>
    <w:p w:rsidR="00024D36" w:rsidRPr="0050035B" w:rsidRDefault="00024D36" w:rsidP="00024D36">
      <w:pPr>
        <w:spacing w:line="360" w:lineRule="auto"/>
        <w:ind w:firstLine="720"/>
        <w:jc w:val="both"/>
        <w:rPr>
          <w:rFonts w:ascii="Century Gothic" w:hAnsi="Century Gothic"/>
          <w:lang w:val="es-MX"/>
        </w:rPr>
      </w:pPr>
      <w:r w:rsidRPr="0050035B">
        <w:rPr>
          <w:rFonts w:ascii="Century Gothic" w:hAnsi="Century Gothic"/>
          <w:lang w:val="es-MX"/>
        </w:rPr>
        <w:t xml:space="preserve">Tomando en cuenta lo anterior, y considerando la revisión de la estimación de la actividad económica para el cierre de 2021, la SHCP utiliza un rango de crecimiento para la economía mexicana en 2022 de 3.6 a 4.6%. </w:t>
      </w:r>
      <w:r w:rsidRPr="0050035B">
        <w:rPr>
          <w:rFonts w:ascii="Century Gothic" w:hAnsi="Century Gothic"/>
          <w:lang w:val="es-MX"/>
        </w:rPr>
        <w:lastRenderedPageBreak/>
        <w:t>En particular, los cálculos de finanzas públicas consideran una tasa puntual de crecimiento de 4.1%</w:t>
      </w:r>
      <w:r w:rsidR="00E251F5">
        <w:rPr>
          <w:rFonts w:ascii="Century Gothic" w:hAnsi="Century Gothic"/>
          <w:lang w:val="es-MX"/>
        </w:rPr>
        <w:t xml:space="preserve"> para el PIB.</w:t>
      </w:r>
    </w:p>
    <w:p w:rsidR="008D7D5A" w:rsidRPr="0050035B" w:rsidRDefault="008D7D5A" w:rsidP="006E4F2B">
      <w:pPr>
        <w:spacing w:line="360" w:lineRule="auto"/>
        <w:jc w:val="both"/>
        <w:rPr>
          <w:rFonts w:ascii="Century Gothic" w:hAnsi="Century Gothic"/>
          <w:lang w:val="es-MX"/>
        </w:rPr>
      </w:pPr>
    </w:p>
    <w:p w:rsidR="00CB7F3E" w:rsidRPr="0050035B" w:rsidRDefault="00CF13F6" w:rsidP="00CF13F6">
      <w:pPr>
        <w:spacing w:line="360" w:lineRule="auto"/>
        <w:rPr>
          <w:rFonts w:ascii="Century Gothic" w:hAnsi="Century Gothic"/>
          <w:b/>
          <w:lang w:val="es-MX"/>
        </w:rPr>
      </w:pPr>
      <w:r w:rsidRPr="0050035B">
        <w:rPr>
          <w:rFonts w:ascii="Century Gothic" w:hAnsi="Century Gothic"/>
          <w:b/>
          <w:lang w:val="es-MX"/>
        </w:rPr>
        <w:t>2.1.4</w:t>
      </w:r>
      <w:r w:rsidR="00CB7F3E" w:rsidRPr="0050035B">
        <w:rPr>
          <w:rFonts w:ascii="Century Gothic" w:hAnsi="Century Gothic"/>
          <w:b/>
          <w:lang w:val="es-MX"/>
        </w:rPr>
        <w:t>. Inflación</w:t>
      </w:r>
    </w:p>
    <w:p w:rsidR="008D7D5A" w:rsidRDefault="00024D36" w:rsidP="00E574B6">
      <w:pPr>
        <w:spacing w:line="360" w:lineRule="auto"/>
        <w:jc w:val="both"/>
        <w:rPr>
          <w:rFonts w:ascii="Century Gothic" w:hAnsi="Century Gothic"/>
          <w:lang w:val="es-MX"/>
        </w:rPr>
      </w:pPr>
      <w:r w:rsidRPr="0050035B">
        <w:rPr>
          <w:rFonts w:ascii="Century Gothic" w:hAnsi="Century Gothic"/>
          <w:lang w:val="es-MX"/>
        </w:rPr>
        <w:t>Las estimaciones de finanzas públicas incorporan una proyección de 5.7% para la inflación al término del año. Esta considera una base de comparación menor en 20</w:t>
      </w:r>
      <w:r w:rsidR="00D17CF9">
        <w:rPr>
          <w:rFonts w:ascii="Century Gothic" w:hAnsi="Century Gothic"/>
          <w:lang w:val="es-MX"/>
        </w:rPr>
        <w:t>22</w:t>
      </w:r>
      <w:r w:rsidRPr="0050035B">
        <w:rPr>
          <w:rFonts w:ascii="Century Gothic" w:hAnsi="Century Gothic"/>
          <w:lang w:val="es-MX"/>
        </w:rPr>
        <w:t>, las presiones globales sobre los precios asociadas a repercusiones de la pandemia, así como los impactos de eventos más específicos a México, como las sequías de la primera mitad del año, ambos considerados en general de carácter transitorio. En relación con esto último, la mediana de las expectativas de inflación para el mediano y largo plazos reportadas por el Banco de México en su última encuesta continúan ancladas en un nivel de 3.5%.</w:t>
      </w:r>
    </w:p>
    <w:p w:rsidR="00E574B6" w:rsidRPr="00E574B6" w:rsidRDefault="00E574B6" w:rsidP="00E574B6">
      <w:pPr>
        <w:spacing w:line="360" w:lineRule="auto"/>
        <w:jc w:val="both"/>
        <w:rPr>
          <w:rFonts w:ascii="Century Gothic" w:hAnsi="Century Gothic"/>
          <w:sz w:val="10"/>
          <w:lang w:val="es-MX"/>
        </w:rPr>
      </w:pPr>
    </w:p>
    <w:p w:rsidR="00024D36" w:rsidRPr="007A3904" w:rsidRDefault="00024D36" w:rsidP="00024D36">
      <w:pPr>
        <w:jc w:val="center"/>
        <w:rPr>
          <w:rFonts w:ascii="Century Gothic" w:hAnsi="Century Gothic"/>
          <w:sz w:val="22"/>
          <w:szCs w:val="22"/>
          <w:lang w:val="es-MX"/>
        </w:rPr>
      </w:pPr>
      <w:r w:rsidRPr="007A3904">
        <w:rPr>
          <w:rFonts w:ascii="Century Gothic" w:hAnsi="Century Gothic"/>
          <w:b/>
          <w:sz w:val="22"/>
          <w:szCs w:val="22"/>
          <w:lang w:val="es-MX"/>
        </w:rPr>
        <w:t>Gráfica 2.</w:t>
      </w:r>
      <w:r w:rsidR="007A3904" w:rsidRPr="007A3904">
        <w:rPr>
          <w:rFonts w:ascii="Century Gothic" w:hAnsi="Century Gothic"/>
          <w:b/>
          <w:sz w:val="22"/>
          <w:szCs w:val="22"/>
          <w:lang w:val="es-MX"/>
        </w:rPr>
        <w:t>8</w:t>
      </w:r>
      <w:r w:rsidRPr="007A3904">
        <w:rPr>
          <w:rFonts w:ascii="Century Gothic" w:hAnsi="Century Gothic"/>
          <w:b/>
          <w:sz w:val="22"/>
          <w:szCs w:val="22"/>
          <w:lang w:val="es-MX"/>
        </w:rPr>
        <w:t>.</w:t>
      </w:r>
      <w:r w:rsidRPr="007A3904">
        <w:rPr>
          <w:rFonts w:ascii="Century Gothic" w:hAnsi="Century Gothic"/>
          <w:sz w:val="22"/>
          <w:szCs w:val="22"/>
          <w:lang w:val="es-MX"/>
        </w:rPr>
        <w:t xml:space="preserve"> Evolución del PIB y su variación anual.</w:t>
      </w:r>
    </w:p>
    <w:p w:rsidR="00024D36" w:rsidRPr="0050035B" w:rsidRDefault="00024D36" w:rsidP="00024D36">
      <w:pPr>
        <w:jc w:val="center"/>
        <w:rPr>
          <w:rFonts w:ascii="Century Gothic" w:hAnsi="Century Gothic"/>
          <w:sz w:val="22"/>
          <w:szCs w:val="22"/>
          <w:lang w:val="es-MX"/>
        </w:rPr>
      </w:pPr>
      <w:r w:rsidRPr="007A3904">
        <w:rPr>
          <w:rFonts w:ascii="Century Gothic" w:hAnsi="Century Gothic"/>
          <w:sz w:val="22"/>
          <w:szCs w:val="22"/>
          <w:lang w:val="es-MX"/>
        </w:rPr>
        <w:t xml:space="preserve"> (Estimaciones de la SHCP para 2018</w:t>
      </w:r>
      <w:r w:rsidRPr="0050035B">
        <w:rPr>
          <w:rFonts w:ascii="Century Gothic" w:hAnsi="Century Gothic"/>
          <w:sz w:val="22"/>
          <w:szCs w:val="22"/>
          <w:lang w:val="es-MX"/>
        </w:rPr>
        <w:t xml:space="preserve"> y 2022</w:t>
      </w:r>
      <w:r w:rsidRPr="0050035B">
        <w:rPr>
          <w:rFonts w:ascii="Century Gothic" w:hAnsi="Century Gothic"/>
          <w:lang w:val="es-MX"/>
        </w:rPr>
        <w:t>)</w:t>
      </w:r>
    </w:p>
    <w:p w:rsidR="00024D36" w:rsidRPr="0050035B" w:rsidRDefault="00024D36" w:rsidP="00024D36">
      <w:pPr>
        <w:spacing w:line="360" w:lineRule="auto"/>
        <w:ind w:firstLine="708"/>
        <w:jc w:val="both"/>
        <w:rPr>
          <w:rFonts w:ascii="Century Gothic" w:hAnsi="Century Gothic"/>
          <w:lang w:val="es-MX"/>
        </w:rPr>
      </w:pPr>
      <w:r w:rsidRPr="0050035B">
        <w:rPr>
          <w:noProof/>
          <w:lang w:val="es-MX" w:eastAsia="es-MX"/>
        </w:rPr>
        <w:drawing>
          <wp:anchor distT="0" distB="0" distL="114300" distR="114300" simplePos="0" relativeHeight="251742208" behindDoc="1" locked="0" layoutInCell="1" allowOverlap="1" wp14:anchorId="4A9C8940" wp14:editId="1C880E3A">
            <wp:simplePos x="0" y="0"/>
            <wp:positionH relativeFrom="margin">
              <wp:align>center</wp:align>
            </wp:positionH>
            <wp:positionV relativeFrom="paragraph">
              <wp:posOffset>26209</wp:posOffset>
            </wp:positionV>
            <wp:extent cx="3552825" cy="3067050"/>
            <wp:effectExtent l="0" t="0" r="952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552825" cy="3067050"/>
                    </a:xfrm>
                    <a:prstGeom prst="rect">
                      <a:avLst/>
                    </a:prstGeom>
                  </pic:spPr>
                </pic:pic>
              </a:graphicData>
            </a:graphic>
            <wp14:sizeRelH relativeFrom="page">
              <wp14:pctWidth>0</wp14:pctWidth>
            </wp14:sizeRelH>
            <wp14:sizeRelV relativeFrom="page">
              <wp14:pctHeight>0</wp14:pctHeight>
            </wp14:sizeRelV>
          </wp:anchor>
        </w:drawing>
      </w:r>
    </w:p>
    <w:p w:rsidR="00024D36" w:rsidRPr="0050035B" w:rsidRDefault="00024D36" w:rsidP="00024D36">
      <w:pPr>
        <w:spacing w:line="360" w:lineRule="auto"/>
        <w:jc w:val="both"/>
        <w:rPr>
          <w:rFonts w:ascii="Century Gothic" w:hAnsi="Century Gothic"/>
          <w:lang w:val="es-MX"/>
        </w:rPr>
      </w:pPr>
      <w:r w:rsidRPr="0050035B">
        <w:rPr>
          <w:rFonts w:ascii="Century Gothic" w:hAnsi="Century Gothic"/>
          <w:lang w:val="es-MX"/>
        </w:rPr>
        <w:tab/>
      </w:r>
      <w:r w:rsidRPr="0050035B">
        <w:rPr>
          <w:rFonts w:ascii="Century Gothic" w:hAnsi="Century Gothic"/>
          <w:lang w:val="es-MX"/>
        </w:rPr>
        <w:tab/>
      </w:r>
    </w:p>
    <w:p w:rsidR="00024D36" w:rsidRPr="0050035B" w:rsidRDefault="00024D36" w:rsidP="00024D36">
      <w:pPr>
        <w:spacing w:line="360" w:lineRule="auto"/>
        <w:jc w:val="both"/>
        <w:rPr>
          <w:rFonts w:ascii="Century Gothic" w:hAnsi="Century Gothic"/>
          <w:lang w:val="es-MX"/>
        </w:rPr>
      </w:pPr>
    </w:p>
    <w:p w:rsidR="00024D36" w:rsidRPr="0050035B" w:rsidRDefault="00024D36" w:rsidP="00024D36">
      <w:pPr>
        <w:spacing w:line="360" w:lineRule="auto"/>
        <w:jc w:val="both"/>
        <w:rPr>
          <w:rFonts w:ascii="Century Gothic" w:hAnsi="Century Gothic"/>
          <w:lang w:val="es-MX"/>
        </w:rPr>
      </w:pPr>
    </w:p>
    <w:p w:rsidR="00024D36" w:rsidRPr="0050035B" w:rsidRDefault="00024D36" w:rsidP="00024D36">
      <w:pPr>
        <w:spacing w:line="360" w:lineRule="auto"/>
        <w:jc w:val="both"/>
        <w:rPr>
          <w:rFonts w:ascii="Century Gothic" w:hAnsi="Century Gothic"/>
          <w:lang w:val="es-MX"/>
        </w:rPr>
      </w:pPr>
    </w:p>
    <w:p w:rsidR="00024D36" w:rsidRPr="0050035B" w:rsidRDefault="00024D36" w:rsidP="00024D36">
      <w:pPr>
        <w:spacing w:line="360" w:lineRule="auto"/>
        <w:jc w:val="both"/>
        <w:rPr>
          <w:rFonts w:ascii="Century Gothic" w:hAnsi="Century Gothic"/>
          <w:lang w:val="es-MX"/>
        </w:rPr>
      </w:pPr>
    </w:p>
    <w:p w:rsidR="00024D36" w:rsidRPr="0050035B" w:rsidRDefault="00024D36" w:rsidP="00024D36">
      <w:pPr>
        <w:spacing w:line="360" w:lineRule="auto"/>
        <w:jc w:val="both"/>
        <w:rPr>
          <w:rFonts w:ascii="Century Gothic" w:hAnsi="Century Gothic"/>
          <w:lang w:val="es-MX"/>
        </w:rPr>
      </w:pPr>
    </w:p>
    <w:p w:rsidR="00024D36" w:rsidRPr="0050035B" w:rsidRDefault="00024D36" w:rsidP="00024D36">
      <w:pPr>
        <w:spacing w:line="360" w:lineRule="auto"/>
        <w:jc w:val="both"/>
        <w:rPr>
          <w:rFonts w:ascii="Century Gothic" w:hAnsi="Century Gothic"/>
          <w:lang w:val="es-MX"/>
        </w:rPr>
      </w:pPr>
    </w:p>
    <w:p w:rsidR="00024D36" w:rsidRPr="0050035B" w:rsidRDefault="00024D36" w:rsidP="00024D36">
      <w:pPr>
        <w:spacing w:line="360" w:lineRule="auto"/>
        <w:jc w:val="both"/>
        <w:rPr>
          <w:rFonts w:ascii="Century Gothic" w:hAnsi="Century Gothic"/>
          <w:lang w:val="es-MX"/>
        </w:rPr>
      </w:pPr>
    </w:p>
    <w:p w:rsidR="00024D36" w:rsidRPr="0050035B" w:rsidRDefault="00024D36" w:rsidP="00024D36">
      <w:pPr>
        <w:spacing w:line="360" w:lineRule="auto"/>
        <w:jc w:val="both"/>
        <w:rPr>
          <w:rFonts w:ascii="Century Gothic" w:hAnsi="Century Gothic"/>
          <w:lang w:val="es-MX"/>
        </w:rPr>
      </w:pPr>
    </w:p>
    <w:p w:rsidR="008D7D5A" w:rsidRDefault="008D7D5A" w:rsidP="00024D36">
      <w:pPr>
        <w:ind w:left="1560" w:right="1585"/>
        <w:jc w:val="both"/>
        <w:rPr>
          <w:rFonts w:ascii="Century Gothic" w:hAnsi="Century Gothic"/>
          <w:b/>
          <w:bCs/>
          <w:sz w:val="20"/>
          <w:lang w:val="es-MX"/>
        </w:rPr>
      </w:pPr>
    </w:p>
    <w:p w:rsidR="008D7D5A" w:rsidRDefault="008D7D5A" w:rsidP="00024D36">
      <w:pPr>
        <w:ind w:left="1560" w:right="1585"/>
        <w:jc w:val="both"/>
        <w:rPr>
          <w:rFonts w:ascii="Century Gothic" w:hAnsi="Century Gothic"/>
          <w:b/>
          <w:bCs/>
          <w:sz w:val="20"/>
          <w:lang w:val="es-MX"/>
        </w:rPr>
      </w:pPr>
    </w:p>
    <w:p w:rsidR="00024D36" w:rsidRPr="0050035B" w:rsidRDefault="00024D36" w:rsidP="00024D36">
      <w:pPr>
        <w:ind w:left="1560" w:right="1585"/>
        <w:jc w:val="both"/>
        <w:rPr>
          <w:rFonts w:ascii="Century Gothic" w:hAnsi="Century Gothic"/>
          <w:sz w:val="20"/>
          <w:lang w:val="es-MX"/>
        </w:rPr>
      </w:pPr>
      <w:r w:rsidRPr="0050035B">
        <w:rPr>
          <w:rFonts w:ascii="Century Gothic" w:hAnsi="Century Gothic"/>
          <w:b/>
          <w:bCs/>
          <w:sz w:val="20"/>
          <w:lang w:val="es-MX"/>
        </w:rPr>
        <w:t>Fuente</w:t>
      </w:r>
      <w:r w:rsidRPr="0050035B">
        <w:rPr>
          <w:rFonts w:ascii="Century Gothic" w:hAnsi="Century Gothic"/>
          <w:sz w:val="20"/>
          <w:lang w:val="es-MX"/>
        </w:rPr>
        <w:t>: Criterios Generales de Política Económica para la Iniciativa de Ley de Ingresos y el Proyecto de Presupuesto de Egresos de la Federación, correspondientes al ejercicio fiscal 2022.</w:t>
      </w:r>
    </w:p>
    <w:p w:rsidR="00B32F2F" w:rsidRPr="0050035B" w:rsidRDefault="00024D36" w:rsidP="007A3904">
      <w:pPr>
        <w:spacing w:line="360" w:lineRule="auto"/>
        <w:ind w:firstLine="720"/>
        <w:jc w:val="both"/>
        <w:rPr>
          <w:rFonts w:ascii="Century Gothic" w:hAnsi="Century Gothic"/>
          <w:lang w:val="es-MX"/>
        </w:rPr>
      </w:pPr>
      <w:r w:rsidRPr="0050035B">
        <w:rPr>
          <w:rFonts w:ascii="Century Gothic" w:hAnsi="Century Gothic"/>
          <w:lang w:val="es-MX"/>
        </w:rPr>
        <w:lastRenderedPageBreak/>
        <w:t>Por lo anterior, las expectativas de inflación para el año se encuentran bien ancladas. De acuerdo con la encuesta de expectativas de Banco de México del mes de agosto, las medianas de las expectativas a mediano (uno a cuatro años) y largo plazo (cinco a ocho años) se ubicaron en 3.50%.</w:t>
      </w:r>
      <w:r w:rsidR="00614B2E" w:rsidRPr="0050035B">
        <w:rPr>
          <w:rFonts w:ascii="Century Gothic" w:hAnsi="Century Gothic"/>
          <w:lang w:val="es-MX"/>
        </w:rPr>
        <w:t xml:space="preserve"> Para las estimaciones de finanzas públicas se recomienda considerar una inflación promedio estimada en 2021 del 5.3 % y para estimaciones de finanzas publicas del 2022 un promedio de 4.1%</w:t>
      </w:r>
      <w:r w:rsidR="00066841">
        <w:rPr>
          <w:rFonts w:ascii="Century Gothic" w:hAnsi="Century Gothic"/>
          <w:lang w:val="es-MX"/>
        </w:rPr>
        <w:t>, véase la gráfica 2.8.</w:t>
      </w:r>
    </w:p>
    <w:p w:rsidR="00614B2E" w:rsidRPr="0050035B" w:rsidRDefault="00614B2E" w:rsidP="00A26E5B">
      <w:pPr>
        <w:spacing w:line="360" w:lineRule="auto"/>
        <w:jc w:val="both"/>
        <w:rPr>
          <w:rFonts w:ascii="Century Gothic" w:hAnsi="Century Gothic"/>
          <w:lang w:val="es-MX"/>
        </w:rPr>
      </w:pPr>
    </w:p>
    <w:p w:rsidR="00CD0511" w:rsidRPr="0050035B" w:rsidRDefault="00CF13F6" w:rsidP="00CD0511">
      <w:pPr>
        <w:spacing w:line="360" w:lineRule="auto"/>
        <w:rPr>
          <w:rFonts w:ascii="Century Gothic" w:hAnsi="Century Gothic"/>
          <w:b/>
          <w:lang w:val="es-MX"/>
        </w:rPr>
      </w:pPr>
      <w:r w:rsidRPr="0050035B">
        <w:rPr>
          <w:rFonts w:ascii="Century Gothic" w:hAnsi="Century Gothic"/>
          <w:b/>
          <w:lang w:val="es-MX"/>
        </w:rPr>
        <w:t>2.1.5</w:t>
      </w:r>
      <w:r w:rsidR="00077A50" w:rsidRPr="0050035B">
        <w:rPr>
          <w:rFonts w:ascii="Century Gothic" w:hAnsi="Century Gothic"/>
          <w:b/>
          <w:lang w:val="es-MX"/>
        </w:rPr>
        <w:t>.</w:t>
      </w:r>
      <w:r w:rsidRPr="0050035B">
        <w:rPr>
          <w:rFonts w:ascii="Century Gothic" w:hAnsi="Century Gothic"/>
          <w:b/>
          <w:lang w:val="es-MX"/>
        </w:rPr>
        <w:t xml:space="preserve"> </w:t>
      </w:r>
      <w:r w:rsidR="00B841F1" w:rsidRPr="0050035B">
        <w:rPr>
          <w:rFonts w:ascii="Century Gothic" w:hAnsi="Century Gothic"/>
          <w:b/>
          <w:lang w:val="es-MX"/>
        </w:rPr>
        <w:t>Unidad de Medida y Actualización (UMA)</w:t>
      </w:r>
    </w:p>
    <w:p w:rsidR="00077A50" w:rsidRPr="0050035B" w:rsidRDefault="00077A50" w:rsidP="00077A50">
      <w:pPr>
        <w:spacing w:line="360" w:lineRule="auto"/>
        <w:jc w:val="both"/>
        <w:rPr>
          <w:rFonts w:ascii="Century Gothic" w:hAnsi="Century Gothic"/>
          <w:lang w:val="es-MX"/>
        </w:rPr>
      </w:pPr>
      <w:r w:rsidRPr="0050035B">
        <w:rPr>
          <w:rFonts w:ascii="Century Gothic" w:hAnsi="Century Gothic"/>
          <w:lang w:val="es-MX"/>
        </w:rPr>
        <w:t>Con fundamento en el artículo 26, apartado B, penúltimo párrafo de la Constitución Política de lo</w:t>
      </w:r>
      <w:r w:rsidR="00F470D9">
        <w:rPr>
          <w:rFonts w:ascii="Century Gothic" w:hAnsi="Century Gothic"/>
          <w:lang w:val="es-MX"/>
        </w:rPr>
        <w:t>s Estados Unidos Mexicanos, el A</w:t>
      </w:r>
      <w:r w:rsidRPr="0050035B">
        <w:rPr>
          <w:rFonts w:ascii="Century Gothic" w:hAnsi="Century Gothic"/>
          <w:lang w:val="es-MX"/>
        </w:rPr>
        <w:t>rtículo Segundo Transitorio del Decreto por el que se reforman y adicionan diversas disposiciones de la Constitución Política de los Estados Unidos Mexicanos en materia de desindexación del salario mínimo, así como el artículo 23 fracción XX Bis del Reglamento Interior del Instituto Nacional de Geografía (INEGI), corresponde a éste calcular el valor de la Unidad de Medida y Actualización</w:t>
      </w:r>
      <w:r w:rsidR="00FF05F5" w:rsidRPr="0050035B">
        <w:rPr>
          <w:rFonts w:ascii="Century Gothic" w:hAnsi="Century Gothic"/>
          <w:lang w:val="es-MX"/>
        </w:rPr>
        <w:t xml:space="preserve"> </w:t>
      </w:r>
      <w:r w:rsidRPr="0050035B">
        <w:rPr>
          <w:rFonts w:ascii="Century Gothic" w:hAnsi="Century Gothic"/>
          <w:lang w:val="es-MX"/>
        </w:rPr>
        <w:t>(UMA).</w:t>
      </w:r>
    </w:p>
    <w:p w:rsidR="00AB658C" w:rsidRDefault="00AB658C">
      <w:pPr>
        <w:rPr>
          <w:rFonts w:ascii="Century Gothic" w:hAnsi="Century Gothic"/>
          <w:b/>
          <w:sz w:val="22"/>
          <w:szCs w:val="22"/>
          <w:lang w:val="es-MX"/>
        </w:rPr>
      </w:pPr>
    </w:p>
    <w:p w:rsidR="00DC2811" w:rsidRPr="0050035B" w:rsidRDefault="007C562F" w:rsidP="00213C5E">
      <w:pPr>
        <w:spacing w:line="360" w:lineRule="auto"/>
        <w:jc w:val="center"/>
        <w:rPr>
          <w:rFonts w:ascii="Century Gothic" w:hAnsi="Century Gothic"/>
          <w:sz w:val="22"/>
          <w:szCs w:val="22"/>
          <w:lang w:val="es-MX"/>
        </w:rPr>
      </w:pPr>
      <w:r w:rsidRPr="0050035B">
        <w:rPr>
          <w:rFonts w:ascii="Century Gothic" w:hAnsi="Century Gothic"/>
          <w:b/>
          <w:sz w:val="22"/>
          <w:szCs w:val="22"/>
          <w:lang w:val="es-MX"/>
        </w:rPr>
        <w:t>Tabla 2.1</w:t>
      </w:r>
      <w:r w:rsidR="000D4776" w:rsidRPr="0050035B">
        <w:rPr>
          <w:rFonts w:ascii="Century Gothic" w:hAnsi="Century Gothic"/>
          <w:b/>
          <w:sz w:val="22"/>
          <w:szCs w:val="22"/>
          <w:lang w:val="es-MX"/>
        </w:rPr>
        <w:t xml:space="preserve"> </w:t>
      </w:r>
      <w:r w:rsidR="00DC2811" w:rsidRPr="0050035B">
        <w:rPr>
          <w:rFonts w:ascii="Century Gothic" w:hAnsi="Century Gothic"/>
          <w:sz w:val="22"/>
          <w:szCs w:val="22"/>
          <w:lang w:val="es-MX"/>
        </w:rPr>
        <w:t>Unidad de Med</w:t>
      </w:r>
      <w:r w:rsidR="00EA4033" w:rsidRPr="0050035B">
        <w:rPr>
          <w:rFonts w:ascii="Century Gothic" w:hAnsi="Century Gothic"/>
          <w:sz w:val="22"/>
          <w:szCs w:val="22"/>
          <w:lang w:val="es-MX"/>
        </w:rPr>
        <w:t>ida y Actualización para el 202</w:t>
      </w:r>
      <w:r w:rsidR="00AB658C">
        <w:rPr>
          <w:rFonts w:ascii="Century Gothic" w:hAnsi="Century Gothic"/>
          <w:sz w:val="22"/>
          <w:szCs w:val="22"/>
          <w:lang w:val="es-MX"/>
        </w:rPr>
        <w:t>1.</w:t>
      </w:r>
    </w:p>
    <w:tbl>
      <w:tblPr>
        <w:tblStyle w:val="Tablaconcuadrcula"/>
        <w:tblpPr w:leftFromText="141" w:rightFromText="141" w:vertAnchor="text" w:horzAnchor="page" w:tblpX="3300" w:tblpY="139"/>
        <w:tblW w:w="0" w:type="auto"/>
        <w:tblLook w:val="04A0" w:firstRow="1" w:lastRow="0" w:firstColumn="1" w:lastColumn="0" w:noHBand="0" w:noVBand="1"/>
      </w:tblPr>
      <w:tblGrid>
        <w:gridCol w:w="1471"/>
        <w:gridCol w:w="1501"/>
        <w:gridCol w:w="1779"/>
        <w:gridCol w:w="1536"/>
      </w:tblGrid>
      <w:tr w:rsidR="00BC5EF0" w:rsidRPr="0050035B" w:rsidTr="00785FD1">
        <w:tc>
          <w:tcPr>
            <w:tcW w:w="6287" w:type="dxa"/>
            <w:gridSpan w:val="4"/>
            <w:shd w:val="clear" w:color="auto" w:fill="FABF8F" w:themeFill="accent6" w:themeFillTint="99"/>
          </w:tcPr>
          <w:p w:rsidR="00BC5EF0" w:rsidRPr="0050035B" w:rsidRDefault="00BC5EF0" w:rsidP="00546EAE">
            <w:pPr>
              <w:pStyle w:val="NormalWeb"/>
              <w:spacing w:after="330" w:line="360" w:lineRule="auto"/>
              <w:jc w:val="center"/>
              <w:rPr>
                <w:rFonts w:ascii="Century Gothic" w:eastAsiaTheme="minorEastAsia" w:hAnsi="Century Gothic" w:cstheme="minorBidi"/>
                <w:b/>
                <w:sz w:val="24"/>
                <w:szCs w:val="24"/>
                <w:lang w:eastAsia="en-US"/>
              </w:rPr>
            </w:pPr>
            <w:r w:rsidRPr="0050035B">
              <w:rPr>
                <w:rFonts w:ascii="Century Gothic" w:eastAsiaTheme="minorEastAsia" w:hAnsi="Century Gothic" w:cstheme="minorBidi"/>
                <w:b/>
                <w:sz w:val="24"/>
                <w:szCs w:val="24"/>
                <w:lang w:eastAsia="en-US"/>
              </w:rPr>
              <w:t>Unidad de Medida y Actualización (UMA)</w:t>
            </w:r>
          </w:p>
        </w:tc>
      </w:tr>
      <w:tr w:rsidR="00BC5EF0" w:rsidRPr="0050035B" w:rsidTr="004A5DC1">
        <w:trPr>
          <w:trHeight w:val="246"/>
        </w:trPr>
        <w:tc>
          <w:tcPr>
            <w:tcW w:w="1471" w:type="dxa"/>
            <w:shd w:val="clear" w:color="auto" w:fill="A6A6A6" w:themeFill="background1" w:themeFillShade="A6"/>
          </w:tcPr>
          <w:p w:rsidR="00BC5EF0" w:rsidRPr="0050035B" w:rsidRDefault="00BC5EF0" w:rsidP="004A5DC1">
            <w:pPr>
              <w:pStyle w:val="NormalWeb"/>
              <w:spacing w:after="330" w:line="360" w:lineRule="auto"/>
              <w:jc w:val="center"/>
              <w:rPr>
                <w:rFonts w:ascii="Century Gothic" w:hAnsi="Century Gothic"/>
                <w:b/>
                <w:sz w:val="24"/>
                <w:szCs w:val="24"/>
                <w:lang w:eastAsia="en-US"/>
              </w:rPr>
            </w:pPr>
            <w:r w:rsidRPr="0050035B">
              <w:rPr>
                <w:rFonts w:ascii="Century Gothic" w:eastAsiaTheme="minorEastAsia" w:hAnsi="Century Gothic" w:cstheme="minorBidi"/>
                <w:b/>
                <w:sz w:val="24"/>
                <w:szCs w:val="24"/>
                <w:lang w:eastAsia="en-US"/>
              </w:rPr>
              <w:t>Año</w:t>
            </w:r>
          </w:p>
        </w:tc>
        <w:tc>
          <w:tcPr>
            <w:tcW w:w="1501" w:type="dxa"/>
            <w:shd w:val="clear" w:color="auto" w:fill="A6A6A6" w:themeFill="background1" w:themeFillShade="A6"/>
          </w:tcPr>
          <w:p w:rsidR="00BC5EF0" w:rsidRPr="0050035B" w:rsidRDefault="00BC5EF0" w:rsidP="004A5DC1">
            <w:pPr>
              <w:pStyle w:val="NormalWeb"/>
              <w:spacing w:after="330" w:line="360" w:lineRule="auto"/>
              <w:jc w:val="center"/>
              <w:rPr>
                <w:rFonts w:ascii="Century Gothic" w:hAnsi="Century Gothic"/>
                <w:b/>
                <w:sz w:val="24"/>
                <w:szCs w:val="24"/>
                <w:lang w:eastAsia="en-US"/>
              </w:rPr>
            </w:pPr>
            <w:r w:rsidRPr="0050035B">
              <w:rPr>
                <w:rFonts w:ascii="Century Gothic" w:eastAsiaTheme="minorEastAsia" w:hAnsi="Century Gothic" w:cstheme="minorBidi"/>
                <w:b/>
                <w:sz w:val="24"/>
                <w:szCs w:val="24"/>
                <w:lang w:eastAsia="en-US"/>
              </w:rPr>
              <w:t>Diario</w:t>
            </w:r>
          </w:p>
        </w:tc>
        <w:tc>
          <w:tcPr>
            <w:tcW w:w="1779" w:type="dxa"/>
            <w:shd w:val="clear" w:color="auto" w:fill="A6A6A6" w:themeFill="background1" w:themeFillShade="A6"/>
          </w:tcPr>
          <w:p w:rsidR="00BC5EF0" w:rsidRPr="0050035B" w:rsidRDefault="00BC5EF0" w:rsidP="004A5DC1">
            <w:pPr>
              <w:pStyle w:val="NormalWeb"/>
              <w:spacing w:after="330" w:line="360" w:lineRule="auto"/>
              <w:jc w:val="center"/>
              <w:rPr>
                <w:rFonts w:ascii="Century Gothic" w:hAnsi="Century Gothic"/>
                <w:b/>
                <w:sz w:val="24"/>
                <w:szCs w:val="24"/>
                <w:lang w:eastAsia="en-US"/>
              </w:rPr>
            </w:pPr>
            <w:r w:rsidRPr="0050035B">
              <w:rPr>
                <w:rFonts w:ascii="Century Gothic" w:eastAsiaTheme="minorEastAsia" w:hAnsi="Century Gothic" w:cstheme="minorBidi"/>
                <w:b/>
                <w:sz w:val="24"/>
                <w:szCs w:val="24"/>
                <w:lang w:eastAsia="en-US"/>
              </w:rPr>
              <w:t>Mensual</w:t>
            </w:r>
          </w:p>
        </w:tc>
        <w:tc>
          <w:tcPr>
            <w:tcW w:w="1536" w:type="dxa"/>
            <w:shd w:val="clear" w:color="auto" w:fill="A6A6A6" w:themeFill="background1" w:themeFillShade="A6"/>
          </w:tcPr>
          <w:p w:rsidR="00BC5EF0" w:rsidRPr="0050035B" w:rsidRDefault="00BC5EF0" w:rsidP="004A5DC1">
            <w:pPr>
              <w:pStyle w:val="NormalWeb"/>
              <w:spacing w:after="330" w:line="360" w:lineRule="auto"/>
              <w:jc w:val="center"/>
              <w:rPr>
                <w:rFonts w:ascii="Century Gothic" w:hAnsi="Century Gothic"/>
                <w:b/>
                <w:sz w:val="24"/>
                <w:szCs w:val="24"/>
                <w:lang w:eastAsia="en-US"/>
              </w:rPr>
            </w:pPr>
            <w:r w:rsidRPr="0050035B">
              <w:rPr>
                <w:rFonts w:ascii="Century Gothic" w:eastAsiaTheme="minorEastAsia" w:hAnsi="Century Gothic" w:cstheme="minorBidi"/>
                <w:b/>
                <w:sz w:val="24"/>
                <w:szCs w:val="24"/>
                <w:lang w:eastAsia="en-US"/>
              </w:rPr>
              <w:t>Anual</w:t>
            </w:r>
          </w:p>
        </w:tc>
      </w:tr>
      <w:tr w:rsidR="00BC5EF0" w:rsidRPr="0050035B" w:rsidTr="005B300D">
        <w:tc>
          <w:tcPr>
            <w:tcW w:w="1471" w:type="dxa"/>
            <w:vAlign w:val="center"/>
          </w:tcPr>
          <w:p w:rsidR="00BC5EF0" w:rsidRPr="0050035B" w:rsidRDefault="00BC5EF0" w:rsidP="005B300D">
            <w:pPr>
              <w:pStyle w:val="NormalWeb"/>
              <w:spacing w:after="330" w:line="360" w:lineRule="auto"/>
              <w:jc w:val="center"/>
              <w:rPr>
                <w:rFonts w:ascii="Century Gothic" w:eastAsiaTheme="minorEastAsia" w:hAnsi="Century Gothic" w:cstheme="minorBidi"/>
                <w:sz w:val="24"/>
                <w:szCs w:val="24"/>
                <w:lang w:eastAsia="en-US"/>
              </w:rPr>
            </w:pPr>
            <w:r w:rsidRPr="0050035B">
              <w:rPr>
                <w:rFonts w:ascii="Century Gothic" w:eastAsiaTheme="minorEastAsia" w:hAnsi="Century Gothic" w:cstheme="minorBidi"/>
                <w:sz w:val="24"/>
                <w:szCs w:val="24"/>
                <w:lang w:eastAsia="en-US"/>
              </w:rPr>
              <w:t>2016</w:t>
            </w:r>
          </w:p>
        </w:tc>
        <w:tc>
          <w:tcPr>
            <w:tcW w:w="1501" w:type="dxa"/>
            <w:vAlign w:val="center"/>
          </w:tcPr>
          <w:p w:rsidR="00BC5EF0" w:rsidRPr="0050035B" w:rsidRDefault="00BC5EF0" w:rsidP="005B300D">
            <w:pPr>
              <w:pStyle w:val="NormalWeb"/>
              <w:spacing w:after="330" w:line="360" w:lineRule="auto"/>
              <w:jc w:val="center"/>
              <w:rPr>
                <w:rFonts w:ascii="Century Gothic" w:eastAsiaTheme="minorEastAsia" w:hAnsi="Century Gothic" w:cstheme="minorBidi"/>
                <w:sz w:val="24"/>
                <w:szCs w:val="24"/>
                <w:lang w:eastAsia="en-US"/>
              </w:rPr>
            </w:pPr>
            <w:r w:rsidRPr="0050035B">
              <w:rPr>
                <w:rFonts w:ascii="Century Gothic" w:eastAsiaTheme="minorEastAsia" w:hAnsi="Century Gothic" w:cstheme="minorBidi"/>
                <w:sz w:val="24"/>
                <w:szCs w:val="24"/>
                <w:lang w:eastAsia="en-US"/>
              </w:rPr>
              <w:t>$ 73.04</w:t>
            </w:r>
          </w:p>
        </w:tc>
        <w:tc>
          <w:tcPr>
            <w:tcW w:w="1779" w:type="dxa"/>
            <w:vAlign w:val="center"/>
          </w:tcPr>
          <w:p w:rsidR="00BC5EF0" w:rsidRPr="0050035B" w:rsidRDefault="00BC5EF0" w:rsidP="005B300D">
            <w:pPr>
              <w:pStyle w:val="NormalWeb"/>
              <w:spacing w:after="330" w:line="360" w:lineRule="auto"/>
              <w:jc w:val="center"/>
              <w:rPr>
                <w:rFonts w:ascii="Century Gothic" w:eastAsiaTheme="minorEastAsia" w:hAnsi="Century Gothic" w:cstheme="minorBidi"/>
                <w:sz w:val="24"/>
                <w:szCs w:val="24"/>
                <w:lang w:eastAsia="en-US"/>
              </w:rPr>
            </w:pPr>
            <w:r w:rsidRPr="0050035B">
              <w:rPr>
                <w:rFonts w:ascii="Century Gothic" w:eastAsiaTheme="minorEastAsia" w:hAnsi="Century Gothic" w:cstheme="minorBidi"/>
                <w:sz w:val="24"/>
                <w:szCs w:val="24"/>
                <w:lang w:eastAsia="en-US"/>
              </w:rPr>
              <w:t>$ 2,220.42</w:t>
            </w:r>
          </w:p>
        </w:tc>
        <w:tc>
          <w:tcPr>
            <w:tcW w:w="1536" w:type="dxa"/>
            <w:vAlign w:val="center"/>
          </w:tcPr>
          <w:p w:rsidR="00BC5EF0" w:rsidRPr="0050035B" w:rsidRDefault="00BC5EF0" w:rsidP="005B300D">
            <w:pPr>
              <w:pStyle w:val="NormalWeb"/>
              <w:spacing w:after="330" w:line="360" w:lineRule="auto"/>
              <w:jc w:val="center"/>
              <w:rPr>
                <w:rFonts w:ascii="Century Gothic" w:eastAsiaTheme="minorEastAsia" w:hAnsi="Century Gothic" w:cstheme="minorBidi"/>
                <w:sz w:val="24"/>
                <w:szCs w:val="24"/>
                <w:lang w:eastAsia="en-US"/>
              </w:rPr>
            </w:pPr>
            <w:r w:rsidRPr="0050035B">
              <w:rPr>
                <w:rFonts w:ascii="Century Gothic" w:eastAsiaTheme="minorEastAsia" w:hAnsi="Century Gothic" w:cstheme="minorBidi"/>
                <w:sz w:val="24"/>
                <w:szCs w:val="24"/>
                <w:lang w:eastAsia="en-US"/>
              </w:rPr>
              <w:t>$ 26,645.04</w:t>
            </w:r>
          </w:p>
        </w:tc>
      </w:tr>
      <w:tr w:rsidR="00B841F1" w:rsidRPr="0050035B" w:rsidTr="005B300D">
        <w:tc>
          <w:tcPr>
            <w:tcW w:w="1471" w:type="dxa"/>
            <w:vAlign w:val="center"/>
          </w:tcPr>
          <w:p w:rsidR="00B841F1" w:rsidRPr="0050035B" w:rsidRDefault="00B841F1" w:rsidP="005B300D">
            <w:pPr>
              <w:pStyle w:val="NormalWeb"/>
              <w:spacing w:after="330" w:line="360" w:lineRule="auto"/>
              <w:jc w:val="center"/>
              <w:rPr>
                <w:rFonts w:ascii="Century Gothic" w:eastAsiaTheme="minorEastAsia" w:hAnsi="Century Gothic" w:cstheme="minorBidi"/>
                <w:sz w:val="24"/>
                <w:szCs w:val="24"/>
                <w:lang w:eastAsia="en-US"/>
              </w:rPr>
            </w:pPr>
            <w:r w:rsidRPr="0050035B">
              <w:rPr>
                <w:rFonts w:ascii="Century Gothic" w:eastAsiaTheme="minorEastAsia" w:hAnsi="Century Gothic" w:cstheme="minorBidi"/>
                <w:sz w:val="24"/>
                <w:szCs w:val="24"/>
                <w:lang w:eastAsia="en-US"/>
              </w:rPr>
              <w:t>2017</w:t>
            </w:r>
          </w:p>
        </w:tc>
        <w:tc>
          <w:tcPr>
            <w:tcW w:w="1501" w:type="dxa"/>
            <w:vAlign w:val="center"/>
          </w:tcPr>
          <w:p w:rsidR="00B841F1" w:rsidRPr="0050035B" w:rsidRDefault="00B841F1" w:rsidP="005B300D">
            <w:pPr>
              <w:pStyle w:val="NormalWeb"/>
              <w:spacing w:after="330" w:line="360" w:lineRule="auto"/>
              <w:jc w:val="center"/>
              <w:rPr>
                <w:rFonts w:ascii="Century Gothic" w:eastAsiaTheme="minorEastAsia" w:hAnsi="Century Gothic" w:cstheme="minorBidi"/>
                <w:sz w:val="24"/>
                <w:szCs w:val="24"/>
                <w:lang w:eastAsia="en-US"/>
              </w:rPr>
            </w:pPr>
            <w:r w:rsidRPr="0050035B">
              <w:rPr>
                <w:rFonts w:ascii="Century Gothic" w:eastAsiaTheme="minorEastAsia" w:hAnsi="Century Gothic" w:cstheme="minorBidi"/>
                <w:sz w:val="24"/>
                <w:szCs w:val="24"/>
                <w:lang w:eastAsia="en-US"/>
              </w:rPr>
              <w:t>$ 75.49</w:t>
            </w:r>
          </w:p>
        </w:tc>
        <w:tc>
          <w:tcPr>
            <w:tcW w:w="1779" w:type="dxa"/>
            <w:vAlign w:val="center"/>
          </w:tcPr>
          <w:p w:rsidR="00B841F1" w:rsidRPr="0050035B" w:rsidRDefault="00B841F1" w:rsidP="005B300D">
            <w:pPr>
              <w:pStyle w:val="NormalWeb"/>
              <w:spacing w:after="330" w:line="360" w:lineRule="auto"/>
              <w:jc w:val="center"/>
              <w:rPr>
                <w:rFonts w:ascii="Century Gothic" w:eastAsiaTheme="minorEastAsia" w:hAnsi="Century Gothic" w:cstheme="minorBidi"/>
                <w:sz w:val="24"/>
                <w:szCs w:val="24"/>
                <w:lang w:eastAsia="en-US"/>
              </w:rPr>
            </w:pPr>
            <w:r w:rsidRPr="0050035B">
              <w:rPr>
                <w:rFonts w:ascii="Century Gothic" w:eastAsiaTheme="minorEastAsia" w:hAnsi="Century Gothic" w:cstheme="minorBidi"/>
                <w:sz w:val="24"/>
                <w:szCs w:val="24"/>
                <w:lang w:eastAsia="en-US"/>
              </w:rPr>
              <w:t>$ 2,294.90</w:t>
            </w:r>
          </w:p>
        </w:tc>
        <w:tc>
          <w:tcPr>
            <w:tcW w:w="1536" w:type="dxa"/>
            <w:vAlign w:val="center"/>
          </w:tcPr>
          <w:p w:rsidR="00B841F1" w:rsidRPr="0050035B" w:rsidRDefault="00B841F1" w:rsidP="005B300D">
            <w:pPr>
              <w:pStyle w:val="NormalWeb"/>
              <w:spacing w:after="330" w:line="360" w:lineRule="auto"/>
              <w:jc w:val="center"/>
              <w:rPr>
                <w:rFonts w:ascii="Century Gothic" w:eastAsiaTheme="minorEastAsia" w:hAnsi="Century Gothic" w:cstheme="minorBidi"/>
                <w:sz w:val="24"/>
                <w:szCs w:val="24"/>
                <w:lang w:eastAsia="en-US"/>
              </w:rPr>
            </w:pPr>
            <w:r w:rsidRPr="0050035B">
              <w:rPr>
                <w:rFonts w:ascii="Century Gothic" w:eastAsiaTheme="minorEastAsia" w:hAnsi="Century Gothic" w:cstheme="minorBidi"/>
                <w:sz w:val="24"/>
                <w:szCs w:val="24"/>
                <w:lang w:eastAsia="en-US"/>
              </w:rPr>
              <w:t>$ 27,538.80</w:t>
            </w:r>
          </w:p>
        </w:tc>
      </w:tr>
      <w:tr w:rsidR="0097222C" w:rsidRPr="0050035B" w:rsidTr="005B300D">
        <w:tc>
          <w:tcPr>
            <w:tcW w:w="1471" w:type="dxa"/>
            <w:vAlign w:val="center"/>
          </w:tcPr>
          <w:p w:rsidR="0097222C" w:rsidRPr="0050035B" w:rsidRDefault="0097222C" w:rsidP="005B300D">
            <w:pPr>
              <w:pStyle w:val="NormalWeb"/>
              <w:spacing w:after="330" w:line="360" w:lineRule="auto"/>
              <w:jc w:val="center"/>
              <w:rPr>
                <w:rFonts w:ascii="Century Gothic" w:eastAsiaTheme="minorEastAsia" w:hAnsi="Century Gothic" w:cstheme="minorBidi"/>
                <w:lang w:eastAsia="en-US"/>
              </w:rPr>
            </w:pPr>
            <w:r w:rsidRPr="0050035B">
              <w:rPr>
                <w:rFonts w:ascii="Century Gothic" w:eastAsiaTheme="minorEastAsia" w:hAnsi="Century Gothic" w:cstheme="minorBidi"/>
                <w:lang w:eastAsia="en-US"/>
              </w:rPr>
              <w:t>2018</w:t>
            </w:r>
          </w:p>
        </w:tc>
        <w:tc>
          <w:tcPr>
            <w:tcW w:w="1501" w:type="dxa"/>
            <w:vAlign w:val="center"/>
          </w:tcPr>
          <w:p w:rsidR="0097222C" w:rsidRPr="0050035B" w:rsidRDefault="0097222C" w:rsidP="005B300D">
            <w:pPr>
              <w:pStyle w:val="NormalWeb"/>
              <w:spacing w:after="330" w:line="360" w:lineRule="auto"/>
              <w:jc w:val="center"/>
              <w:rPr>
                <w:rFonts w:ascii="Century Gothic" w:eastAsiaTheme="minorEastAsia" w:hAnsi="Century Gothic" w:cstheme="minorBidi"/>
                <w:lang w:eastAsia="en-US"/>
              </w:rPr>
            </w:pPr>
            <w:r w:rsidRPr="0050035B">
              <w:rPr>
                <w:rFonts w:ascii="Century Gothic" w:eastAsiaTheme="minorEastAsia" w:hAnsi="Century Gothic" w:cstheme="minorBidi"/>
                <w:lang w:eastAsia="en-US"/>
              </w:rPr>
              <w:t>$ 80.60</w:t>
            </w:r>
          </w:p>
        </w:tc>
        <w:tc>
          <w:tcPr>
            <w:tcW w:w="1779" w:type="dxa"/>
            <w:vAlign w:val="center"/>
          </w:tcPr>
          <w:p w:rsidR="0097222C" w:rsidRPr="0050035B" w:rsidRDefault="0097222C" w:rsidP="005B300D">
            <w:pPr>
              <w:pStyle w:val="NormalWeb"/>
              <w:spacing w:after="330" w:line="360" w:lineRule="auto"/>
              <w:jc w:val="center"/>
              <w:rPr>
                <w:rFonts w:ascii="Century Gothic" w:eastAsiaTheme="minorEastAsia" w:hAnsi="Century Gothic" w:cstheme="minorBidi"/>
                <w:lang w:eastAsia="en-US"/>
              </w:rPr>
            </w:pPr>
            <w:r w:rsidRPr="0050035B">
              <w:rPr>
                <w:rFonts w:ascii="Century Gothic" w:eastAsiaTheme="minorEastAsia" w:hAnsi="Century Gothic" w:cstheme="minorBidi"/>
                <w:lang w:eastAsia="en-US"/>
              </w:rPr>
              <w:t>$ 2,450.24</w:t>
            </w:r>
          </w:p>
        </w:tc>
        <w:tc>
          <w:tcPr>
            <w:tcW w:w="1536" w:type="dxa"/>
            <w:vAlign w:val="center"/>
          </w:tcPr>
          <w:p w:rsidR="0097222C" w:rsidRPr="0050035B" w:rsidRDefault="0097222C" w:rsidP="005B300D">
            <w:pPr>
              <w:pStyle w:val="NormalWeb"/>
              <w:spacing w:after="330" w:line="360" w:lineRule="auto"/>
              <w:jc w:val="center"/>
              <w:rPr>
                <w:rFonts w:ascii="Century Gothic" w:eastAsiaTheme="minorEastAsia" w:hAnsi="Century Gothic" w:cstheme="minorBidi"/>
                <w:lang w:eastAsia="en-US"/>
              </w:rPr>
            </w:pPr>
            <w:r w:rsidRPr="0050035B">
              <w:rPr>
                <w:rFonts w:ascii="Century Gothic" w:eastAsiaTheme="minorEastAsia" w:hAnsi="Century Gothic" w:cstheme="minorBidi"/>
                <w:lang w:eastAsia="en-US"/>
              </w:rPr>
              <w:t>$ 29,402.88</w:t>
            </w:r>
          </w:p>
        </w:tc>
      </w:tr>
      <w:tr w:rsidR="005B300D" w:rsidRPr="0050035B" w:rsidTr="005B300D">
        <w:tc>
          <w:tcPr>
            <w:tcW w:w="1471" w:type="dxa"/>
            <w:vAlign w:val="center"/>
          </w:tcPr>
          <w:p w:rsidR="005B300D" w:rsidRPr="0050035B" w:rsidRDefault="005B300D" w:rsidP="005B300D">
            <w:pPr>
              <w:pStyle w:val="NormalWeb"/>
              <w:spacing w:after="330" w:line="360" w:lineRule="auto"/>
              <w:jc w:val="center"/>
              <w:rPr>
                <w:rFonts w:ascii="Century Gothic" w:eastAsiaTheme="minorEastAsia" w:hAnsi="Century Gothic" w:cstheme="minorBidi"/>
                <w:lang w:eastAsia="en-US"/>
              </w:rPr>
            </w:pPr>
            <w:r w:rsidRPr="0050035B">
              <w:rPr>
                <w:rFonts w:ascii="Century Gothic" w:eastAsiaTheme="minorEastAsia" w:hAnsi="Century Gothic" w:cstheme="minorBidi"/>
                <w:lang w:eastAsia="en-US"/>
              </w:rPr>
              <w:t>2019</w:t>
            </w:r>
          </w:p>
        </w:tc>
        <w:tc>
          <w:tcPr>
            <w:tcW w:w="1501" w:type="dxa"/>
            <w:vAlign w:val="center"/>
          </w:tcPr>
          <w:p w:rsidR="005B300D" w:rsidRPr="0050035B" w:rsidRDefault="005B300D" w:rsidP="005B300D">
            <w:pPr>
              <w:pStyle w:val="NormalWeb"/>
              <w:spacing w:after="330" w:line="360" w:lineRule="auto"/>
              <w:jc w:val="center"/>
              <w:rPr>
                <w:rFonts w:ascii="Century Gothic" w:eastAsiaTheme="minorEastAsia" w:hAnsi="Century Gothic" w:cstheme="minorBidi"/>
                <w:lang w:eastAsia="en-US"/>
              </w:rPr>
            </w:pPr>
            <w:r w:rsidRPr="0050035B">
              <w:rPr>
                <w:rFonts w:ascii="Century Gothic" w:eastAsiaTheme="minorEastAsia" w:hAnsi="Century Gothic" w:cstheme="minorBidi"/>
                <w:lang w:eastAsia="en-US"/>
              </w:rPr>
              <w:t>$ 84.49</w:t>
            </w:r>
          </w:p>
        </w:tc>
        <w:tc>
          <w:tcPr>
            <w:tcW w:w="1779" w:type="dxa"/>
            <w:vAlign w:val="center"/>
          </w:tcPr>
          <w:p w:rsidR="005B300D" w:rsidRPr="0050035B" w:rsidRDefault="005B300D" w:rsidP="005B300D">
            <w:pPr>
              <w:pStyle w:val="NormalWeb"/>
              <w:spacing w:after="330" w:line="360" w:lineRule="auto"/>
              <w:jc w:val="center"/>
              <w:rPr>
                <w:rFonts w:ascii="Century Gothic" w:eastAsiaTheme="minorEastAsia" w:hAnsi="Century Gothic" w:cstheme="minorBidi"/>
                <w:lang w:eastAsia="en-US"/>
              </w:rPr>
            </w:pPr>
            <w:r w:rsidRPr="0050035B">
              <w:rPr>
                <w:rFonts w:ascii="Century Gothic" w:eastAsiaTheme="minorEastAsia" w:hAnsi="Century Gothic" w:cstheme="minorBidi"/>
                <w:lang w:eastAsia="en-US"/>
              </w:rPr>
              <w:t>$ 2,568.50</w:t>
            </w:r>
          </w:p>
        </w:tc>
        <w:tc>
          <w:tcPr>
            <w:tcW w:w="1536" w:type="dxa"/>
            <w:vAlign w:val="center"/>
          </w:tcPr>
          <w:p w:rsidR="005B300D" w:rsidRPr="0050035B" w:rsidRDefault="005B300D" w:rsidP="005B300D">
            <w:pPr>
              <w:pStyle w:val="NormalWeb"/>
              <w:spacing w:after="330" w:line="360" w:lineRule="auto"/>
              <w:jc w:val="center"/>
              <w:rPr>
                <w:rFonts w:ascii="Century Gothic" w:eastAsiaTheme="minorEastAsia" w:hAnsi="Century Gothic" w:cstheme="minorBidi"/>
                <w:lang w:eastAsia="en-US"/>
              </w:rPr>
            </w:pPr>
            <w:r w:rsidRPr="0050035B">
              <w:rPr>
                <w:rFonts w:ascii="Century Gothic" w:eastAsiaTheme="minorEastAsia" w:hAnsi="Century Gothic" w:cstheme="minorBidi"/>
                <w:lang w:eastAsia="en-US"/>
              </w:rPr>
              <w:t>$ 30,822.00</w:t>
            </w:r>
          </w:p>
        </w:tc>
      </w:tr>
      <w:tr w:rsidR="00EA4033" w:rsidRPr="0050035B" w:rsidTr="00CB1491">
        <w:tc>
          <w:tcPr>
            <w:tcW w:w="1471" w:type="dxa"/>
            <w:vAlign w:val="center"/>
          </w:tcPr>
          <w:p w:rsidR="00EA4033" w:rsidRPr="0050035B" w:rsidRDefault="00EA4033" w:rsidP="00EA4033">
            <w:pPr>
              <w:pStyle w:val="NormalWeb"/>
              <w:spacing w:after="330" w:line="360" w:lineRule="auto"/>
              <w:jc w:val="center"/>
              <w:rPr>
                <w:rFonts w:ascii="Century Gothic" w:eastAsiaTheme="minorEastAsia" w:hAnsi="Century Gothic" w:cstheme="minorBidi"/>
                <w:lang w:eastAsia="en-US"/>
              </w:rPr>
            </w:pPr>
            <w:r w:rsidRPr="0050035B">
              <w:rPr>
                <w:rFonts w:ascii="Century Gothic" w:eastAsiaTheme="minorEastAsia" w:hAnsi="Century Gothic" w:cstheme="minorBidi"/>
                <w:lang w:eastAsia="en-US"/>
              </w:rPr>
              <w:t>2020</w:t>
            </w:r>
          </w:p>
        </w:tc>
        <w:tc>
          <w:tcPr>
            <w:tcW w:w="1501" w:type="dxa"/>
          </w:tcPr>
          <w:p w:rsidR="00EA4033" w:rsidRPr="0050035B" w:rsidRDefault="00EA4033" w:rsidP="00EA4033">
            <w:pPr>
              <w:pStyle w:val="NormalWeb"/>
              <w:spacing w:after="330" w:line="360" w:lineRule="auto"/>
              <w:jc w:val="center"/>
              <w:rPr>
                <w:rFonts w:ascii="Century Gothic" w:eastAsiaTheme="minorEastAsia" w:hAnsi="Century Gothic" w:cstheme="minorBidi"/>
                <w:lang w:eastAsia="en-US"/>
              </w:rPr>
            </w:pPr>
            <w:r w:rsidRPr="0050035B">
              <w:rPr>
                <w:rFonts w:ascii="Century Gothic" w:eastAsiaTheme="minorEastAsia" w:hAnsi="Century Gothic" w:cstheme="minorBidi"/>
                <w:lang w:eastAsia="en-US"/>
              </w:rPr>
              <w:t>$ 86.88</w:t>
            </w:r>
          </w:p>
        </w:tc>
        <w:tc>
          <w:tcPr>
            <w:tcW w:w="1779" w:type="dxa"/>
          </w:tcPr>
          <w:p w:rsidR="00EA4033" w:rsidRPr="0050035B" w:rsidRDefault="00EA4033" w:rsidP="00EA4033">
            <w:pPr>
              <w:pStyle w:val="NormalWeb"/>
              <w:spacing w:after="330" w:line="360" w:lineRule="auto"/>
              <w:jc w:val="center"/>
              <w:rPr>
                <w:rFonts w:ascii="Century Gothic" w:eastAsiaTheme="minorEastAsia" w:hAnsi="Century Gothic" w:cstheme="minorBidi"/>
                <w:lang w:eastAsia="en-US"/>
              </w:rPr>
            </w:pPr>
            <w:r w:rsidRPr="0050035B">
              <w:rPr>
                <w:rFonts w:ascii="Century Gothic" w:eastAsiaTheme="minorEastAsia" w:hAnsi="Century Gothic" w:cstheme="minorBidi"/>
                <w:lang w:eastAsia="en-US"/>
              </w:rPr>
              <w:t>$ 2,641.15</w:t>
            </w:r>
          </w:p>
        </w:tc>
        <w:tc>
          <w:tcPr>
            <w:tcW w:w="1536" w:type="dxa"/>
          </w:tcPr>
          <w:p w:rsidR="00EA4033" w:rsidRPr="0050035B" w:rsidRDefault="00EA4033" w:rsidP="00EA4033">
            <w:pPr>
              <w:pStyle w:val="NormalWeb"/>
              <w:spacing w:after="330" w:line="360" w:lineRule="auto"/>
              <w:jc w:val="center"/>
              <w:rPr>
                <w:rFonts w:ascii="Century Gothic" w:eastAsiaTheme="minorEastAsia" w:hAnsi="Century Gothic" w:cstheme="minorBidi"/>
                <w:lang w:eastAsia="en-US"/>
              </w:rPr>
            </w:pPr>
            <w:r w:rsidRPr="0050035B">
              <w:rPr>
                <w:rFonts w:ascii="Century Gothic" w:eastAsiaTheme="minorEastAsia" w:hAnsi="Century Gothic" w:cstheme="minorBidi"/>
                <w:lang w:eastAsia="en-US"/>
              </w:rPr>
              <w:t>$ 31,693.80</w:t>
            </w:r>
          </w:p>
        </w:tc>
      </w:tr>
      <w:tr w:rsidR="00614B2E" w:rsidRPr="0050035B" w:rsidTr="00CB1491">
        <w:tc>
          <w:tcPr>
            <w:tcW w:w="1471" w:type="dxa"/>
            <w:vAlign w:val="center"/>
          </w:tcPr>
          <w:p w:rsidR="00614B2E" w:rsidRPr="0050035B" w:rsidRDefault="00614B2E" w:rsidP="00614B2E">
            <w:pPr>
              <w:pStyle w:val="NormalWeb"/>
              <w:spacing w:after="330" w:line="360" w:lineRule="auto"/>
              <w:jc w:val="center"/>
              <w:rPr>
                <w:rFonts w:ascii="Century Gothic" w:eastAsiaTheme="minorEastAsia" w:hAnsi="Century Gothic" w:cstheme="minorBidi"/>
                <w:lang w:eastAsia="en-US"/>
              </w:rPr>
            </w:pPr>
            <w:r w:rsidRPr="0050035B">
              <w:rPr>
                <w:rFonts w:ascii="Century Gothic" w:eastAsiaTheme="minorEastAsia" w:hAnsi="Century Gothic" w:cstheme="minorBidi"/>
                <w:lang w:eastAsia="en-US"/>
              </w:rPr>
              <w:t>2021</w:t>
            </w:r>
          </w:p>
        </w:tc>
        <w:tc>
          <w:tcPr>
            <w:tcW w:w="1501" w:type="dxa"/>
          </w:tcPr>
          <w:p w:rsidR="00614B2E" w:rsidRPr="0050035B" w:rsidRDefault="00614B2E" w:rsidP="00614B2E">
            <w:pPr>
              <w:pStyle w:val="NormalWeb"/>
              <w:spacing w:after="330" w:line="360" w:lineRule="auto"/>
              <w:jc w:val="center"/>
              <w:rPr>
                <w:rFonts w:ascii="Century Gothic" w:eastAsiaTheme="minorEastAsia" w:hAnsi="Century Gothic" w:cstheme="minorBidi"/>
                <w:lang w:eastAsia="en-US"/>
              </w:rPr>
            </w:pPr>
            <w:r w:rsidRPr="0050035B">
              <w:rPr>
                <w:rFonts w:ascii="Century Gothic" w:eastAsiaTheme="minorEastAsia" w:hAnsi="Century Gothic" w:cstheme="minorBidi"/>
                <w:lang w:eastAsia="en-US"/>
              </w:rPr>
              <w:t>$ 89.62</w:t>
            </w:r>
          </w:p>
        </w:tc>
        <w:tc>
          <w:tcPr>
            <w:tcW w:w="1779" w:type="dxa"/>
          </w:tcPr>
          <w:p w:rsidR="00614B2E" w:rsidRPr="0050035B" w:rsidRDefault="00614B2E" w:rsidP="00614B2E">
            <w:pPr>
              <w:pStyle w:val="NormalWeb"/>
              <w:spacing w:after="330" w:line="360" w:lineRule="auto"/>
              <w:jc w:val="center"/>
              <w:rPr>
                <w:rFonts w:ascii="Century Gothic" w:eastAsiaTheme="minorEastAsia" w:hAnsi="Century Gothic" w:cstheme="minorBidi"/>
                <w:lang w:eastAsia="en-US"/>
              </w:rPr>
            </w:pPr>
            <w:r w:rsidRPr="0050035B">
              <w:rPr>
                <w:rFonts w:ascii="Century Gothic" w:eastAsiaTheme="minorEastAsia" w:hAnsi="Century Gothic" w:cstheme="minorBidi"/>
                <w:lang w:eastAsia="en-US"/>
              </w:rPr>
              <w:t>$ 2,724.45</w:t>
            </w:r>
          </w:p>
        </w:tc>
        <w:tc>
          <w:tcPr>
            <w:tcW w:w="1536" w:type="dxa"/>
          </w:tcPr>
          <w:p w:rsidR="00614B2E" w:rsidRPr="0050035B" w:rsidRDefault="00614B2E" w:rsidP="00614B2E">
            <w:pPr>
              <w:pStyle w:val="NormalWeb"/>
              <w:spacing w:after="330" w:line="360" w:lineRule="auto"/>
              <w:jc w:val="center"/>
              <w:rPr>
                <w:rFonts w:ascii="Century Gothic" w:eastAsiaTheme="minorEastAsia" w:hAnsi="Century Gothic" w:cstheme="minorBidi"/>
                <w:lang w:eastAsia="en-US"/>
              </w:rPr>
            </w:pPr>
            <w:r w:rsidRPr="0050035B">
              <w:rPr>
                <w:rFonts w:ascii="Century Gothic" w:eastAsiaTheme="minorEastAsia" w:hAnsi="Century Gothic" w:cstheme="minorBidi"/>
                <w:lang w:eastAsia="en-US"/>
              </w:rPr>
              <w:t>$ 32,693.40</w:t>
            </w:r>
          </w:p>
        </w:tc>
      </w:tr>
    </w:tbl>
    <w:p w:rsidR="00BE2539" w:rsidRPr="0050035B" w:rsidRDefault="00BE2539" w:rsidP="00BE2539">
      <w:pPr>
        <w:pStyle w:val="NormalWeb"/>
        <w:shd w:val="clear" w:color="auto" w:fill="FFFFFF"/>
        <w:spacing w:after="330" w:line="360" w:lineRule="auto"/>
        <w:jc w:val="both"/>
        <w:rPr>
          <w:rFonts w:ascii="Century Gothic" w:eastAsiaTheme="minorEastAsia" w:hAnsi="Century Gothic" w:cstheme="minorBidi"/>
          <w:lang w:eastAsia="en-US"/>
        </w:rPr>
      </w:pPr>
    </w:p>
    <w:p w:rsidR="00155C1F" w:rsidRPr="0050035B" w:rsidRDefault="00155C1F" w:rsidP="00155C1F">
      <w:pPr>
        <w:rPr>
          <w:rFonts w:ascii="Century Gothic" w:hAnsi="Century Gothic"/>
          <w:lang w:val="es-MX"/>
        </w:rPr>
      </w:pPr>
    </w:p>
    <w:p w:rsidR="00074973" w:rsidRPr="0050035B" w:rsidRDefault="00074973" w:rsidP="00155C1F">
      <w:pPr>
        <w:rPr>
          <w:rFonts w:ascii="Century Gothic" w:hAnsi="Century Gothic"/>
          <w:lang w:val="es-MX"/>
        </w:rPr>
      </w:pPr>
    </w:p>
    <w:p w:rsidR="00074973" w:rsidRPr="0050035B" w:rsidRDefault="00074973" w:rsidP="00155C1F">
      <w:pPr>
        <w:rPr>
          <w:rFonts w:ascii="Century Gothic" w:hAnsi="Century Gothic"/>
          <w:sz w:val="22"/>
          <w:szCs w:val="22"/>
          <w:lang w:val="es-MX"/>
        </w:rPr>
      </w:pPr>
    </w:p>
    <w:p w:rsidR="00B841F1" w:rsidRPr="0050035B" w:rsidRDefault="00B841F1" w:rsidP="00155C1F">
      <w:pPr>
        <w:jc w:val="both"/>
        <w:rPr>
          <w:rFonts w:ascii="Century Gothic" w:hAnsi="Century Gothic"/>
          <w:sz w:val="20"/>
          <w:szCs w:val="20"/>
          <w:lang w:val="es-MX"/>
        </w:rPr>
      </w:pPr>
    </w:p>
    <w:p w:rsidR="00B841F1" w:rsidRPr="0050035B" w:rsidRDefault="00B841F1" w:rsidP="00155C1F">
      <w:pPr>
        <w:jc w:val="both"/>
        <w:rPr>
          <w:rFonts w:ascii="Century Gothic" w:hAnsi="Century Gothic"/>
          <w:sz w:val="20"/>
          <w:szCs w:val="20"/>
          <w:lang w:val="es-MX"/>
        </w:rPr>
      </w:pPr>
    </w:p>
    <w:p w:rsidR="00B841F1" w:rsidRPr="0050035B" w:rsidRDefault="00B841F1" w:rsidP="00155C1F">
      <w:pPr>
        <w:jc w:val="both"/>
        <w:rPr>
          <w:rFonts w:ascii="Century Gothic" w:hAnsi="Century Gothic"/>
          <w:sz w:val="20"/>
          <w:szCs w:val="20"/>
          <w:lang w:val="es-MX"/>
        </w:rPr>
      </w:pPr>
    </w:p>
    <w:p w:rsidR="002D01BA" w:rsidRPr="0050035B" w:rsidRDefault="002D01BA" w:rsidP="00155C1F">
      <w:pPr>
        <w:jc w:val="both"/>
        <w:rPr>
          <w:rFonts w:ascii="Century Gothic" w:hAnsi="Century Gothic"/>
          <w:sz w:val="20"/>
          <w:szCs w:val="20"/>
          <w:lang w:val="es-MX"/>
        </w:rPr>
      </w:pPr>
    </w:p>
    <w:p w:rsidR="002D01BA" w:rsidRPr="0050035B" w:rsidRDefault="002D01BA" w:rsidP="00155C1F">
      <w:pPr>
        <w:jc w:val="both"/>
        <w:rPr>
          <w:rFonts w:ascii="Century Gothic" w:hAnsi="Century Gothic"/>
          <w:sz w:val="20"/>
          <w:szCs w:val="20"/>
          <w:lang w:val="es-MX"/>
        </w:rPr>
      </w:pPr>
    </w:p>
    <w:p w:rsidR="002D01BA" w:rsidRPr="0050035B" w:rsidRDefault="002D01BA" w:rsidP="00155C1F">
      <w:pPr>
        <w:jc w:val="both"/>
        <w:rPr>
          <w:rFonts w:ascii="Century Gothic" w:hAnsi="Century Gothic"/>
          <w:sz w:val="20"/>
          <w:szCs w:val="20"/>
          <w:lang w:val="es-MX"/>
        </w:rPr>
      </w:pPr>
    </w:p>
    <w:p w:rsidR="00155C1F" w:rsidRPr="0050035B" w:rsidRDefault="00155C1F" w:rsidP="004737B7">
      <w:pPr>
        <w:ind w:left="1134" w:right="1160"/>
        <w:jc w:val="both"/>
        <w:rPr>
          <w:rFonts w:ascii="Century Gothic" w:hAnsi="Century Gothic"/>
          <w:b/>
          <w:sz w:val="20"/>
          <w:szCs w:val="20"/>
          <w:lang w:val="es-MX"/>
        </w:rPr>
      </w:pPr>
      <w:r w:rsidRPr="0050035B">
        <w:rPr>
          <w:rFonts w:ascii="Century Gothic" w:hAnsi="Century Gothic"/>
          <w:b/>
          <w:bCs/>
          <w:sz w:val="20"/>
          <w:szCs w:val="20"/>
          <w:lang w:val="es-MX"/>
        </w:rPr>
        <w:t>Fuente</w:t>
      </w:r>
      <w:r w:rsidRPr="0050035B">
        <w:rPr>
          <w:rFonts w:ascii="Century Gothic" w:hAnsi="Century Gothic"/>
          <w:sz w:val="20"/>
          <w:szCs w:val="20"/>
          <w:lang w:val="es-MX"/>
        </w:rPr>
        <w:t>: INEGI, Ce</w:t>
      </w:r>
      <w:r w:rsidR="00EA4033" w:rsidRPr="0050035B">
        <w:rPr>
          <w:rFonts w:ascii="Century Gothic" w:hAnsi="Century Gothic"/>
          <w:sz w:val="20"/>
          <w:szCs w:val="20"/>
          <w:lang w:val="es-MX"/>
        </w:rPr>
        <w:t>nso de Población y Vivienda, 202</w:t>
      </w:r>
      <w:r w:rsidR="00A206B0" w:rsidRPr="0050035B">
        <w:rPr>
          <w:rFonts w:ascii="Century Gothic" w:hAnsi="Century Gothic"/>
          <w:sz w:val="20"/>
          <w:szCs w:val="20"/>
          <w:lang w:val="es-MX"/>
        </w:rPr>
        <w:t>1</w:t>
      </w:r>
      <w:r w:rsidRPr="0050035B">
        <w:rPr>
          <w:rFonts w:ascii="Century Gothic" w:hAnsi="Century Gothic"/>
          <w:sz w:val="20"/>
          <w:szCs w:val="20"/>
          <w:lang w:val="es-MX"/>
        </w:rPr>
        <w:t xml:space="preserve">. Unidad de Medida y Actualización. </w:t>
      </w:r>
    </w:p>
    <w:p w:rsidR="00077A50" w:rsidRPr="0050035B" w:rsidRDefault="00077A50" w:rsidP="00077A50">
      <w:pPr>
        <w:spacing w:line="360" w:lineRule="auto"/>
        <w:ind w:firstLine="720"/>
        <w:jc w:val="both"/>
        <w:rPr>
          <w:rFonts w:ascii="Century Gothic" w:hAnsi="Century Gothic"/>
          <w:lang w:val="es-MX"/>
        </w:rPr>
      </w:pPr>
      <w:r w:rsidRPr="0050035B">
        <w:rPr>
          <w:rFonts w:ascii="Century Gothic" w:hAnsi="Century Gothic"/>
          <w:lang w:val="es-MX"/>
        </w:rPr>
        <w:lastRenderedPageBreak/>
        <w:t>El valor mensual de la UMA se calcula multiplicando su valor diario por 30.4 veces y su valor anual se calcula multiplicando su valor mensual por 12. Como se muestra en la Tabla 2.</w:t>
      </w:r>
      <w:r w:rsidR="00B32F2F" w:rsidRPr="0050035B">
        <w:rPr>
          <w:rFonts w:ascii="Century Gothic" w:hAnsi="Century Gothic"/>
          <w:lang w:val="es-MX"/>
        </w:rPr>
        <w:t>1</w:t>
      </w:r>
      <w:r w:rsidRPr="0050035B">
        <w:rPr>
          <w:rFonts w:ascii="Century Gothic" w:hAnsi="Century Gothic"/>
          <w:lang w:val="es-MX"/>
        </w:rPr>
        <w:t>, el valor diario de la UMA para 20</w:t>
      </w:r>
      <w:r w:rsidR="008F7EF5" w:rsidRPr="0050035B">
        <w:rPr>
          <w:rFonts w:ascii="Century Gothic" w:hAnsi="Century Gothic"/>
          <w:lang w:val="es-MX"/>
        </w:rPr>
        <w:t>2</w:t>
      </w:r>
      <w:r w:rsidR="00614B2E" w:rsidRPr="0050035B">
        <w:rPr>
          <w:rFonts w:ascii="Century Gothic" w:hAnsi="Century Gothic"/>
          <w:lang w:val="es-MX"/>
        </w:rPr>
        <w:t>1</w:t>
      </w:r>
      <w:r w:rsidRPr="0050035B">
        <w:rPr>
          <w:rFonts w:ascii="Century Gothic" w:hAnsi="Century Gothic"/>
          <w:lang w:val="es-MX"/>
        </w:rPr>
        <w:t xml:space="preserve"> está fijado en $</w:t>
      </w:r>
      <w:r w:rsidR="00614B2E" w:rsidRPr="0050035B">
        <w:rPr>
          <w:rFonts w:ascii="Century Gothic" w:hAnsi="Century Gothic"/>
          <w:lang w:val="es-MX"/>
        </w:rPr>
        <w:t xml:space="preserve">89.62 </w:t>
      </w:r>
      <w:r w:rsidRPr="0050035B">
        <w:rPr>
          <w:rFonts w:ascii="Century Gothic" w:hAnsi="Century Gothic"/>
          <w:lang w:val="es-MX"/>
        </w:rPr>
        <w:t>pesos, con una valoración mensual de $</w:t>
      </w:r>
      <w:r w:rsidR="00614B2E" w:rsidRPr="0050035B">
        <w:rPr>
          <w:rFonts w:ascii="Century Gothic" w:hAnsi="Century Gothic"/>
          <w:lang w:val="es-MX"/>
        </w:rPr>
        <w:t xml:space="preserve">2,724.45 </w:t>
      </w:r>
      <w:r w:rsidRPr="0050035B">
        <w:rPr>
          <w:rFonts w:ascii="Century Gothic" w:hAnsi="Century Gothic"/>
          <w:lang w:val="es-MX"/>
        </w:rPr>
        <w:t>y anual de $</w:t>
      </w:r>
      <w:r w:rsidR="00614B2E" w:rsidRPr="0050035B">
        <w:rPr>
          <w:rFonts w:ascii="Century Gothic" w:hAnsi="Century Gothic"/>
          <w:lang w:val="es-MX"/>
        </w:rPr>
        <w:t>32,693.40</w:t>
      </w:r>
      <w:r w:rsidRPr="0050035B">
        <w:rPr>
          <w:rFonts w:ascii="Century Gothic" w:hAnsi="Century Gothic"/>
          <w:lang w:val="es-MX"/>
        </w:rPr>
        <w:t>. Para proyecciones se utiliza la UMA del año previo al que se presupuesta, ya que la UMA es emitida en enero de cada año con vigencia desde febrero.</w:t>
      </w:r>
    </w:p>
    <w:p w:rsidR="00077A50" w:rsidRPr="0050035B" w:rsidRDefault="00077A50" w:rsidP="00A31768">
      <w:pPr>
        <w:spacing w:line="360" w:lineRule="auto"/>
        <w:jc w:val="both"/>
        <w:rPr>
          <w:rFonts w:ascii="Century Gothic" w:hAnsi="Century Gothic"/>
          <w:lang w:val="es-MX"/>
        </w:rPr>
      </w:pPr>
    </w:p>
    <w:p w:rsidR="00F751AE" w:rsidRPr="0050035B" w:rsidRDefault="00F751AE" w:rsidP="00F751AE">
      <w:pPr>
        <w:spacing w:line="360" w:lineRule="auto"/>
        <w:rPr>
          <w:rFonts w:ascii="Century Gothic" w:hAnsi="Century Gothic"/>
          <w:b/>
          <w:lang w:val="es-MX"/>
        </w:rPr>
      </w:pPr>
      <w:r w:rsidRPr="0050035B">
        <w:rPr>
          <w:rFonts w:ascii="Century Gothic" w:hAnsi="Century Gothic"/>
          <w:b/>
          <w:lang w:val="es-MX"/>
        </w:rPr>
        <w:t>2.1.6. Tipo de Cambio</w:t>
      </w:r>
    </w:p>
    <w:p w:rsidR="00614B2E" w:rsidRPr="0050035B" w:rsidRDefault="00614B2E" w:rsidP="004912B5">
      <w:pPr>
        <w:spacing w:line="360" w:lineRule="auto"/>
        <w:jc w:val="both"/>
        <w:rPr>
          <w:rFonts w:ascii="Century Gothic" w:hAnsi="Century Gothic"/>
          <w:lang w:val="es-MX"/>
        </w:rPr>
      </w:pPr>
      <w:r w:rsidRPr="0050035B">
        <w:rPr>
          <w:rFonts w:ascii="Century Gothic" w:hAnsi="Century Gothic"/>
          <w:lang w:val="es-MX"/>
        </w:rPr>
        <w:t xml:space="preserve">A pesar de tener lapsos temporales de volatilidad, en promedio, la volatilidad implícita a un mes del peso mexicano continúa en los primeros ocho meses de 2021 su tendencia a la baja para ubicarse cada vez más cerca de sus niveles </w:t>
      </w:r>
      <w:r w:rsidR="007A3904" w:rsidRPr="0050035B">
        <w:rPr>
          <w:rFonts w:ascii="Century Gothic" w:hAnsi="Century Gothic"/>
          <w:lang w:val="es-MX"/>
        </w:rPr>
        <w:t>prepandemia</w:t>
      </w:r>
      <w:r w:rsidRPr="0050035B">
        <w:rPr>
          <w:rFonts w:ascii="Century Gothic" w:hAnsi="Century Gothic"/>
          <w:lang w:val="es-MX"/>
        </w:rPr>
        <w:t>. Por otra parte, el tipo de cambio con respecto al dólar norteamericano ha variado alrededor de un promedio anual que implica una apreciación en 6.7% con respecto a su promedio en 2020.</w:t>
      </w:r>
    </w:p>
    <w:p w:rsidR="00614B2E" w:rsidRPr="0050035B" w:rsidRDefault="00614B2E" w:rsidP="00614B2E">
      <w:pPr>
        <w:spacing w:line="360" w:lineRule="auto"/>
        <w:ind w:firstLine="720"/>
        <w:jc w:val="both"/>
        <w:rPr>
          <w:rFonts w:ascii="Century Gothic" w:hAnsi="Century Gothic"/>
          <w:lang w:val="es-MX"/>
        </w:rPr>
      </w:pPr>
      <w:r w:rsidRPr="0050035B">
        <w:rPr>
          <w:rFonts w:ascii="Century Gothic" w:hAnsi="Century Gothic"/>
          <w:lang w:val="es-MX"/>
        </w:rPr>
        <w:t xml:space="preserve">Así, se utiliza un tipo de cambio promedio de 20.1 pesos por dólar para las estimaciones del cierre del ejercicio fiscal 2021, que sopesa la posición relativa de la política monetaria en México, mejores condiciones respecto a otras economías emergentes e ingresos por turismo y remesas superiores a años previos. </w:t>
      </w:r>
    </w:p>
    <w:p w:rsidR="00614B2E" w:rsidRPr="0050035B" w:rsidRDefault="00614B2E" w:rsidP="004912B5">
      <w:pPr>
        <w:spacing w:line="360" w:lineRule="auto"/>
        <w:jc w:val="both"/>
        <w:rPr>
          <w:rFonts w:ascii="Century Gothic" w:hAnsi="Century Gothic"/>
          <w:lang w:val="es-MX"/>
        </w:rPr>
      </w:pPr>
    </w:p>
    <w:p w:rsidR="00614B2E" w:rsidRPr="0050035B" w:rsidRDefault="00614B2E" w:rsidP="00614B2E">
      <w:pPr>
        <w:spacing w:line="360" w:lineRule="auto"/>
        <w:ind w:firstLine="720"/>
        <w:jc w:val="both"/>
        <w:rPr>
          <w:rFonts w:ascii="Century Gothic" w:hAnsi="Century Gothic"/>
          <w:lang w:val="es-MX"/>
        </w:rPr>
      </w:pPr>
      <w:r w:rsidRPr="0050035B">
        <w:rPr>
          <w:rFonts w:ascii="Century Gothic" w:hAnsi="Century Gothic"/>
          <w:lang w:val="es-MX"/>
        </w:rPr>
        <w:t xml:space="preserve">Se prevé considerar </w:t>
      </w:r>
      <w:r w:rsidR="00024D36" w:rsidRPr="0050035B">
        <w:rPr>
          <w:rFonts w:ascii="Century Gothic" w:hAnsi="Century Gothic"/>
          <w:lang w:val="es-MX"/>
        </w:rPr>
        <w:t>un tipo de cambio promedio de 20.3 pesos por dólar</w:t>
      </w:r>
      <w:r w:rsidRPr="0050035B">
        <w:rPr>
          <w:rFonts w:ascii="Century Gothic" w:hAnsi="Century Gothic"/>
          <w:lang w:val="es-MX"/>
        </w:rPr>
        <w:t xml:space="preserve"> para las estimaciones de finanzas públicas en el ejercicio fiscal 2022, lo cual supone una ligera depreciación del tipo de cambio nominal en el horizonte previsto, congruente con una trayectoria del tipo de cambio real bilateral peso-dólar constante en el periodo 2023-2027 y tomando en </w:t>
      </w:r>
      <w:r w:rsidRPr="0050035B">
        <w:rPr>
          <w:rFonts w:ascii="Century Gothic" w:hAnsi="Century Gothic"/>
          <w:lang w:val="es-MX"/>
        </w:rPr>
        <w:lastRenderedPageBreak/>
        <w:t>cuenta el comportamiento esperado de mediano plazo para la inflación en los EE. UU</w:t>
      </w:r>
      <w:r w:rsidR="003A76BC">
        <w:rPr>
          <w:rFonts w:ascii="Century Gothic" w:hAnsi="Century Gothic"/>
          <w:lang w:val="es-MX"/>
        </w:rPr>
        <w:t>.</w:t>
      </w:r>
    </w:p>
    <w:p w:rsidR="00024D36" w:rsidRPr="0050035B" w:rsidRDefault="00024D36" w:rsidP="004912B5">
      <w:pPr>
        <w:spacing w:line="360" w:lineRule="auto"/>
        <w:jc w:val="both"/>
        <w:rPr>
          <w:rFonts w:ascii="Century Gothic" w:hAnsi="Century Gothic"/>
          <w:lang w:val="es-MX"/>
        </w:rPr>
      </w:pPr>
    </w:p>
    <w:p w:rsidR="00F751AE" w:rsidRPr="0050035B" w:rsidRDefault="00F751AE" w:rsidP="00F751AE">
      <w:pPr>
        <w:spacing w:line="360" w:lineRule="auto"/>
        <w:rPr>
          <w:rFonts w:ascii="Century Gothic" w:hAnsi="Century Gothic"/>
          <w:b/>
          <w:lang w:val="es-MX"/>
        </w:rPr>
      </w:pPr>
      <w:r w:rsidRPr="0050035B">
        <w:rPr>
          <w:rFonts w:ascii="Century Gothic" w:hAnsi="Century Gothic"/>
          <w:b/>
          <w:lang w:val="es-MX"/>
        </w:rPr>
        <w:t>2.1.</w:t>
      </w:r>
      <w:r w:rsidR="002A43CD" w:rsidRPr="0050035B">
        <w:rPr>
          <w:rFonts w:ascii="Century Gothic" w:hAnsi="Century Gothic"/>
          <w:b/>
          <w:lang w:val="es-MX"/>
        </w:rPr>
        <w:t>7</w:t>
      </w:r>
      <w:r w:rsidRPr="0050035B">
        <w:rPr>
          <w:rFonts w:ascii="Century Gothic" w:hAnsi="Century Gothic"/>
          <w:b/>
          <w:lang w:val="es-MX"/>
        </w:rPr>
        <w:t>. Producción de Hidrocarburos</w:t>
      </w:r>
    </w:p>
    <w:p w:rsidR="00073D6E" w:rsidRPr="0050035B" w:rsidRDefault="00073D6E" w:rsidP="00B32F2F">
      <w:pPr>
        <w:spacing w:line="360" w:lineRule="auto"/>
        <w:jc w:val="both"/>
        <w:rPr>
          <w:rFonts w:ascii="Century Gothic" w:hAnsi="Century Gothic"/>
          <w:lang w:val="es-MX"/>
        </w:rPr>
      </w:pPr>
      <w:r w:rsidRPr="0050035B">
        <w:rPr>
          <w:rFonts w:ascii="Century Gothic" w:hAnsi="Century Gothic"/>
          <w:lang w:val="es-MX"/>
        </w:rPr>
        <w:t>Las estimaciones también emplean un precio promedio de la MME de 55.1 dpb, en apego a la metodología establecida en el artículo 31 de la LFPRH y su Reglamento. Asimismo, se utiliza una plataforma de p</w:t>
      </w:r>
      <w:r w:rsidR="00D17CF9">
        <w:rPr>
          <w:rFonts w:ascii="Century Gothic" w:hAnsi="Century Gothic"/>
          <w:lang w:val="es-MX"/>
        </w:rPr>
        <w:t>roducción de petróleo de 1,826 Millones de Barriles (MdB)</w:t>
      </w:r>
      <w:r w:rsidRPr="0050035B">
        <w:rPr>
          <w:rFonts w:ascii="Century Gothic" w:hAnsi="Century Gothic"/>
          <w:lang w:val="es-MX"/>
        </w:rPr>
        <w:t>. Esta estimación considera las tendencias observadas, el mayor énfasis que le da PEMEX a la eficiencia en lugar del volumen, así como la información enviada por la Secretaría de Energía y la Comisión Nacional de Hidrocarburos, con base en los planes de exploración y de desarrollo de PEMEX y sus empresas privadas.</w:t>
      </w:r>
    </w:p>
    <w:p w:rsidR="00073D6E" w:rsidRDefault="00073D6E" w:rsidP="002849D9">
      <w:pPr>
        <w:spacing w:line="360" w:lineRule="auto"/>
        <w:ind w:firstLine="720"/>
        <w:jc w:val="both"/>
        <w:rPr>
          <w:rFonts w:ascii="Century Gothic" w:hAnsi="Century Gothic"/>
          <w:lang w:val="es-MX"/>
        </w:rPr>
      </w:pPr>
      <w:r w:rsidRPr="0050035B">
        <w:rPr>
          <w:rFonts w:ascii="Century Gothic" w:hAnsi="Century Gothic"/>
          <w:lang w:val="es-MX"/>
        </w:rPr>
        <w:t xml:space="preserve">Cabe señalar que el panorama en el mercado petrolero cambió de forma drástica con relación a la fecha en </w:t>
      </w:r>
      <w:r w:rsidR="003A76BC">
        <w:rPr>
          <w:rFonts w:ascii="Century Gothic" w:hAnsi="Century Gothic"/>
          <w:lang w:val="es-MX"/>
        </w:rPr>
        <w:t>que se entregaron los CGPE 2021</w:t>
      </w:r>
      <w:r w:rsidRPr="0050035B">
        <w:rPr>
          <w:rFonts w:ascii="Century Gothic" w:hAnsi="Century Gothic"/>
          <w:lang w:val="es-MX"/>
        </w:rPr>
        <w:t xml:space="preserve"> ya que los precios casi se duplicaron y alcanzaron niveles no observados desde 2018. Al 31 de agosto de 2021, los precios de la mezcla mexicana, el WTI y el Brent fueron de 66.0, 68.5 y 71.2 dólares por barril (dpb), mayores en 86.0, 86.3 y 72.1%, respectivamente, con relación al 8 de septiembre de 2020</w:t>
      </w:r>
      <w:r w:rsidR="003A76BC">
        <w:rPr>
          <w:rFonts w:ascii="Century Gothic" w:hAnsi="Century Gothic"/>
          <w:lang w:val="es-MX"/>
        </w:rPr>
        <w:t>. Como se puede apreciar en la gráfica 2.9</w:t>
      </w:r>
      <w:r w:rsidRPr="0050035B">
        <w:rPr>
          <w:rFonts w:ascii="Century Gothic" w:hAnsi="Century Gothic"/>
          <w:lang w:val="es-MX"/>
        </w:rPr>
        <w:t>. La Administración de Información Energética (EIA por sus siglas en inglés) espera que los precios registrados en 2021 incentiven el aumento de la pr</w:t>
      </w:r>
      <w:r w:rsidR="003A76BC">
        <w:rPr>
          <w:rFonts w:ascii="Century Gothic" w:hAnsi="Century Gothic"/>
          <w:lang w:val="es-MX"/>
        </w:rPr>
        <w:t>oducción de EE.UU. durante 2022</w:t>
      </w:r>
      <w:r w:rsidRPr="0050035B">
        <w:rPr>
          <w:rFonts w:ascii="Century Gothic" w:hAnsi="Century Gothic"/>
          <w:lang w:val="es-MX"/>
        </w:rPr>
        <w:t xml:space="preserve"> y que también la OPEP+ continúe con los incrementos de producción. De esta forma, esperan ligeras presiones a la baja sobre los precios del WTI y el Brent. </w:t>
      </w:r>
    </w:p>
    <w:p w:rsidR="007A3904" w:rsidRPr="0050035B" w:rsidRDefault="007A3904" w:rsidP="002849D9">
      <w:pPr>
        <w:spacing w:line="360" w:lineRule="auto"/>
        <w:ind w:firstLine="720"/>
        <w:jc w:val="both"/>
        <w:rPr>
          <w:rFonts w:ascii="Century Gothic" w:hAnsi="Century Gothic"/>
          <w:lang w:val="es-MX"/>
        </w:rPr>
      </w:pPr>
    </w:p>
    <w:p w:rsidR="00E574B6" w:rsidRDefault="00E574B6" w:rsidP="007A3904">
      <w:pPr>
        <w:jc w:val="center"/>
        <w:rPr>
          <w:rFonts w:ascii="Century Gothic" w:hAnsi="Century Gothic"/>
          <w:b/>
          <w:sz w:val="22"/>
          <w:szCs w:val="22"/>
          <w:lang w:val="es-MX"/>
        </w:rPr>
      </w:pPr>
    </w:p>
    <w:p w:rsidR="00E574B6" w:rsidRDefault="00E574B6" w:rsidP="007A3904">
      <w:pPr>
        <w:jc w:val="center"/>
        <w:rPr>
          <w:rFonts w:ascii="Century Gothic" w:hAnsi="Century Gothic"/>
          <w:b/>
          <w:sz w:val="22"/>
          <w:szCs w:val="22"/>
          <w:lang w:val="es-MX"/>
        </w:rPr>
      </w:pPr>
    </w:p>
    <w:p w:rsidR="00E574B6" w:rsidRDefault="00E574B6" w:rsidP="007A3904">
      <w:pPr>
        <w:jc w:val="center"/>
        <w:rPr>
          <w:rFonts w:ascii="Century Gothic" w:hAnsi="Century Gothic"/>
          <w:b/>
          <w:sz w:val="22"/>
          <w:szCs w:val="22"/>
          <w:lang w:val="es-MX"/>
        </w:rPr>
      </w:pPr>
    </w:p>
    <w:p w:rsidR="00E574B6" w:rsidRDefault="00E574B6" w:rsidP="007A3904">
      <w:pPr>
        <w:jc w:val="center"/>
        <w:rPr>
          <w:rFonts w:ascii="Century Gothic" w:hAnsi="Century Gothic"/>
          <w:b/>
          <w:sz w:val="22"/>
          <w:szCs w:val="22"/>
          <w:lang w:val="es-MX"/>
        </w:rPr>
      </w:pPr>
    </w:p>
    <w:p w:rsidR="00E574B6" w:rsidRDefault="00E574B6" w:rsidP="007A3904">
      <w:pPr>
        <w:jc w:val="center"/>
        <w:rPr>
          <w:rFonts w:ascii="Century Gothic" w:hAnsi="Century Gothic"/>
          <w:b/>
          <w:sz w:val="22"/>
          <w:szCs w:val="22"/>
          <w:lang w:val="es-MX"/>
        </w:rPr>
      </w:pPr>
    </w:p>
    <w:p w:rsidR="00E574B6" w:rsidRDefault="00E574B6" w:rsidP="007A3904">
      <w:pPr>
        <w:jc w:val="center"/>
        <w:rPr>
          <w:rFonts w:ascii="Century Gothic" w:hAnsi="Century Gothic"/>
          <w:b/>
          <w:sz w:val="22"/>
          <w:szCs w:val="22"/>
          <w:lang w:val="es-MX"/>
        </w:rPr>
      </w:pPr>
    </w:p>
    <w:p w:rsidR="007A3904" w:rsidRPr="007A3904" w:rsidRDefault="00453DB9" w:rsidP="007A3904">
      <w:pPr>
        <w:jc w:val="center"/>
        <w:rPr>
          <w:rFonts w:ascii="Century Gothic" w:hAnsi="Century Gothic"/>
          <w:sz w:val="22"/>
          <w:szCs w:val="22"/>
          <w:lang w:val="es-MX"/>
        </w:rPr>
      </w:pPr>
      <w:r w:rsidRPr="007A3904">
        <w:rPr>
          <w:rFonts w:ascii="Century Gothic" w:hAnsi="Century Gothic"/>
          <w:b/>
          <w:sz w:val="22"/>
          <w:szCs w:val="22"/>
          <w:lang w:val="es-MX"/>
        </w:rPr>
        <w:lastRenderedPageBreak/>
        <w:t>Gráfica 2.</w:t>
      </w:r>
      <w:r w:rsidR="007A3904">
        <w:rPr>
          <w:rFonts w:ascii="Century Gothic" w:hAnsi="Century Gothic"/>
          <w:b/>
          <w:sz w:val="22"/>
          <w:szCs w:val="22"/>
          <w:lang w:val="es-MX"/>
        </w:rPr>
        <w:t>9</w:t>
      </w:r>
      <w:r w:rsidRPr="007A3904">
        <w:rPr>
          <w:rFonts w:ascii="Century Gothic" w:hAnsi="Century Gothic"/>
          <w:b/>
          <w:sz w:val="22"/>
          <w:szCs w:val="22"/>
          <w:lang w:val="es-MX"/>
        </w:rPr>
        <w:t>.</w:t>
      </w:r>
      <w:r w:rsidRPr="007A3904">
        <w:rPr>
          <w:rFonts w:ascii="Century Gothic" w:hAnsi="Century Gothic"/>
          <w:sz w:val="22"/>
          <w:szCs w:val="22"/>
          <w:lang w:val="es-MX"/>
        </w:rPr>
        <w:t xml:space="preserve"> </w:t>
      </w:r>
      <w:r w:rsidR="00274E81" w:rsidRPr="007A3904">
        <w:rPr>
          <w:rFonts w:ascii="Century Gothic" w:hAnsi="Century Gothic"/>
          <w:sz w:val="22"/>
          <w:szCs w:val="22"/>
          <w:lang w:val="es-MX"/>
        </w:rPr>
        <w:t>Precios del Petróleo y curvas futuras de WTI</w:t>
      </w:r>
    </w:p>
    <w:p w:rsidR="002A43CD" w:rsidRPr="0050035B" w:rsidRDefault="007A3904" w:rsidP="007A3904">
      <w:pPr>
        <w:jc w:val="center"/>
        <w:rPr>
          <w:rFonts w:ascii="Century Gothic" w:hAnsi="Century Gothic"/>
          <w:lang w:val="es-MX"/>
        </w:rPr>
      </w:pPr>
      <w:r w:rsidRPr="0050035B">
        <w:rPr>
          <w:noProof/>
          <w:lang w:val="es-MX" w:eastAsia="es-MX"/>
        </w:rPr>
        <w:drawing>
          <wp:anchor distT="0" distB="0" distL="114300" distR="114300" simplePos="0" relativeHeight="251743232" behindDoc="1" locked="0" layoutInCell="1" allowOverlap="1" wp14:anchorId="5CD78661" wp14:editId="40167EF7">
            <wp:simplePos x="0" y="0"/>
            <wp:positionH relativeFrom="margin">
              <wp:posOffset>1075055</wp:posOffset>
            </wp:positionH>
            <wp:positionV relativeFrom="paragraph">
              <wp:posOffset>146800</wp:posOffset>
            </wp:positionV>
            <wp:extent cx="3438525" cy="3067050"/>
            <wp:effectExtent l="0" t="0" r="9525"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438525" cy="3067050"/>
                    </a:xfrm>
                    <a:prstGeom prst="rect">
                      <a:avLst/>
                    </a:prstGeom>
                  </pic:spPr>
                </pic:pic>
              </a:graphicData>
            </a:graphic>
          </wp:anchor>
        </w:drawing>
      </w:r>
      <w:r w:rsidR="00274E81" w:rsidRPr="007A3904">
        <w:rPr>
          <w:rFonts w:ascii="Century Gothic" w:hAnsi="Century Gothic"/>
          <w:sz w:val="22"/>
          <w:szCs w:val="22"/>
          <w:lang w:val="es-MX"/>
        </w:rPr>
        <w:t xml:space="preserve"> </w:t>
      </w:r>
      <w:r w:rsidRPr="007A3904">
        <w:rPr>
          <w:rFonts w:ascii="Century Gothic" w:hAnsi="Century Gothic"/>
          <w:sz w:val="22"/>
          <w:szCs w:val="22"/>
          <w:lang w:val="es-MX"/>
        </w:rPr>
        <w:t xml:space="preserve"> (enero 2018- octubre 2022) </w:t>
      </w:r>
    </w:p>
    <w:p w:rsidR="002A43CD" w:rsidRPr="0050035B" w:rsidRDefault="002A43CD" w:rsidP="002A43CD">
      <w:pPr>
        <w:spacing w:line="360" w:lineRule="auto"/>
        <w:ind w:firstLine="720"/>
        <w:jc w:val="both"/>
        <w:rPr>
          <w:rFonts w:ascii="Century Gothic" w:hAnsi="Century Gothic"/>
          <w:lang w:val="es-MX"/>
        </w:rPr>
      </w:pPr>
    </w:p>
    <w:p w:rsidR="002A43CD" w:rsidRPr="0050035B" w:rsidRDefault="002A43CD" w:rsidP="002A43CD">
      <w:pPr>
        <w:spacing w:line="360" w:lineRule="auto"/>
        <w:ind w:firstLine="720"/>
        <w:jc w:val="both"/>
        <w:rPr>
          <w:rFonts w:ascii="Century Gothic" w:hAnsi="Century Gothic"/>
          <w:lang w:val="es-MX"/>
        </w:rPr>
      </w:pPr>
    </w:p>
    <w:p w:rsidR="00F751AE" w:rsidRPr="0050035B" w:rsidRDefault="00F751AE" w:rsidP="00F751AE">
      <w:pPr>
        <w:spacing w:line="360" w:lineRule="auto"/>
        <w:ind w:firstLine="720"/>
        <w:jc w:val="both"/>
        <w:rPr>
          <w:rFonts w:ascii="Century Gothic" w:hAnsi="Century Gothic"/>
          <w:lang w:val="es-MX"/>
        </w:rPr>
      </w:pPr>
    </w:p>
    <w:p w:rsidR="00453DB9" w:rsidRPr="0050035B" w:rsidRDefault="00453DB9" w:rsidP="002A43CD">
      <w:pPr>
        <w:spacing w:line="360" w:lineRule="auto"/>
        <w:rPr>
          <w:rFonts w:ascii="Century Gothic" w:hAnsi="Century Gothic"/>
          <w:lang w:val="es-MX"/>
        </w:rPr>
      </w:pPr>
    </w:p>
    <w:p w:rsidR="00453DB9" w:rsidRPr="0050035B" w:rsidRDefault="00453DB9" w:rsidP="002A43CD">
      <w:pPr>
        <w:spacing w:line="360" w:lineRule="auto"/>
        <w:rPr>
          <w:rFonts w:ascii="Century Gothic" w:hAnsi="Century Gothic"/>
          <w:lang w:val="es-MX"/>
        </w:rPr>
      </w:pPr>
    </w:p>
    <w:p w:rsidR="00453DB9" w:rsidRPr="0050035B" w:rsidRDefault="00453DB9" w:rsidP="002A43CD">
      <w:pPr>
        <w:spacing w:line="360" w:lineRule="auto"/>
        <w:rPr>
          <w:rFonts w:ascii="Century Gothic" w:hAnsi="Century Gothic"/>
          <w:lang w:val="es-MX"/>
        </w:rPr>
      </w:pPr>
    </w:p>
    <w:p w:rsidR="00453DB9" w:rsidRPr="0050035B" w:rsidRDefault="00453DB9" w:rsidP="002A43CD">
      <w:pPr>
        <w:spacing w:line="360" w:lineRule="auto"/>
        <w:rPr>
          <w:rFonts w:ascii="Century Gothic" w:hAnsi="Century Gothic"/>
          <w:lang w:val="es-MX"/>
        </w:rPr>
      </w:pPr>
    </w:p>
    <w:p w:rsidR="009969A3" w:rsidRDefault="009969A3" w:rsidP="002A43CD">
      <w:pPr>
        <w:spacing w:line="360" w:lineRule="auto"/>
        <w:rPr>
          <w:rFonts w:ascii="Century Gothic" w:hAnsi="Century Gothic"/>
          <w:sz w:val="16"/>
          <w:szCs w:val="16"/>
          <w:lang w:val="es-MX"/>
        </w:rPr>
      </w:pPr>
    </w:p>
    <w:p w:rsidR="007A3904" w:rsidRDefault="007A3904" w:rsidP="002A43CD">
      <w:pPr>
        <w:spacing w:line="360" w:lineRule="auto"/>
        <w:rPr>
          <w:rFonts w:ascii="Century Gothic" w:hAnsi="Century Gothic"/>
          <w:sz w:val="16"/>
          <w:szCs w:val="16"/>
          <w:lang w:val="es-MX"/>
        </w:rPr>
      </w:pPr>
    </w:p>
    <w:p w:rsidR="007A3904" w:rsidRDefault="007A3904" w:rsidP="002A43CD">
      <w:pPr>
        <w:spacing w:line="360" w:lineRule="auto"/>
        <w:rPr>
          <w:rFonts w:ascii="Century Gothic" w:hAnsi="Century Gothic"/>
          <w:sz w:val="16"/>
          <w:szCs w:val="16"/>
          <w:lang w:val="es-MX"/>
        </w:rPr>
      </w:pPr>
    </w:p>
    <w:p w:rsidR="007A3904" w:rsidRPr="0050035B" w:rsidRDefault="007A3904" w:rsidP="002A43CD">
      <w:pPr>
        <w:spacing w:line="360" w:lineRule="auto"/>
        <w:rPr>
          <w:rFonts w:ascii="Century Gothic" w:hAnsi="Century Gothic"/>
          <w:sz w:val="16"/>
          <w:szCs w:val="16"/>
          <w:lang w:val="es-MX"/>
        </w:rPr>
      </w:pPr>
    </w:p>
    <w:p w:rsidR="00073D6E" w:rsidRPr="0050035B" w:rsidRDefault="00073D6E" w:rsidP="00140CC6">
      <w:pPr>
        <w:ind w:left="1560" w:right="1585"/>
        <w:jc w:val="both"/>
        <w:rPr>
          <w:rFonts w:ascii="Century Gothic" w:hAnsi="Century Gothic"/>
          <w:b/>
          <w:bCs/>
          <w:sz w:val="20"/>
          <w:lang w:val="es-MX"/>
        </w:rPr>
      </w:pPr>
    </w:p>
    <w:p w:rsidR="00073D6E" w:rsidRPr="0050035B" w:rsidRDefault="00073D6E" w:rsidP="00140CC6">
      <w:pPr>
        <w:ind w:left="1560" w:right="1585"/>
        <w:jc w:val="both"/>
        <w:rPr>
          <w:rFonts w:ascii="Century Gothic" w:hAnsi="Century Gothic"/>
          <w:b/>
          <w:bCs/>
          <w:sz w:val="20"/>
          <w:lang w:val="es-MX"/>
        </w:rPr>
      </w:pPr>
    </w:p>
    <w:p w:rsidR="00140CC6" w:rsidRPr="0050035B" w:rsidRDefault="00140CC6" w:rsidP="00140CC6">
      <w:pPr>
        <w:ind w:left="1560" w:right="1585"/>
        <w:jc w:val="both"/>
        <w:rPr>
          <w:rFonts w:ascii="Century Gothic" w:hAnsi="Century Gothic"/>
          <w:sz w:val="20"/>
          <w:lang w:val="es-MX"/>
        </w:rPr>
      </w:pPr>
      <w:r w:rsidRPr="0050035B">
        <w:rPr>
          <w:rFonts w:ascii="Century Gothic" w:hAnsi="Century Gothic"/>
          <w:b/>
          <w:bCs/>
          <w:sz w:val="20"/>
          <w:lang w:val="es-MX"/>
        </w:rPr>
        <w:t>Fuente</w:t>
      </w:r>
      <w:r w:rsidRPr="0050035B">
        <w:rPr>
          <w:rFonts w:ascii="Century Gothic" w:hAnsi="Century Gothic"/>
          <w:sz w:val="20"/>
          <w:lang w:val="es-MX"/>
        </w:rPr>
        <w:t>: Criterios Generales de Política Económica para la Iniciativa de Ley de Ingresos y el Proyecto de Presupuesto de Egresos de la Federación, correspondientes al ejercicio fiscal 202</w:t>
      </w:r>
      <w:r w:rsidR="00073D6E" w:rsidRPr="0050035B">
        <w:rPr>
          <w:rFonts w:ascii="Century Gothic" w:hAnsi="Century Gothic"/>
          <w:sz w:val="20"/>
          <w:lang w:val="es-MX"/>
        </w:rPr>
        <w:t>2</w:t>
      </w:r>
      <w:r w:rsidRPr="0050035B">
        <w:rPr>
          <w:rFonts w:ascii="Century Gothic" w:hAnsi="Century Gothic"/>
          <w:sz w:val="20"/>
          <w:lang w:val="es-MX"/>
        </w:rPr>
        <w:t>.</w:t>
      </w:r>
    </w:p>
    <w:p w:rsidR="00453DB9" w:rsidRPr="0050035B" w:rsidRDefault="00453DB9" w:rsidP="00453DB9">
      <w:pPr>
        <w:spacing w:line="360" w:lineRule="auto"/>
        <w:ind w:firstLine="720"/>
        <w:jc w:val="both"/>
        <w:rPr>
          <w:rFonts w:ascii="Century Gothic" w:hAnsi="Century Gothic"/>
          <w:lang w:val="es-MX"/>
        </w:rPr>
      </w:pPr>
    </w:p>
    <w:p w:rsidR="00274E81" w:rsidRPr="0050035B" w:rsidRDefault="00274E81" w:rsidP="00453DB9">
      <w:pPr>
        <w:spacing w:line="360" w:lineRule="auto"/>
        <w:ind w:firstLine="720"/>
        <w:jc w:val="both"/>
        <w:rPr>
          <w:rFonts w:ascii="Century Gothic" w:hAnsi="Century Gothic"/>
          <w:lang w:val="es-MX"/>
        </w:rPr>
      </w:pPr>
      <w:r w:rsidRPr="0050035B">
        <w:rPr>
          <w:rFonts w:ascii="Century Gothic" w:hAnsi="Century Gothic"/>
          <w:lang w:val="es-MX"/>
        </w:rPr>
        <w:t>En la ILIF 2021, con relación al cierre estimado de 2020 se contempla un incremento anual de los ingresos petroleros de 13% en términos reales, con respecto al cierre esperado para 2020. Ello se explica por un aumento en la plataforma de producción y en el precio del petróleo esperado para el siguiente año (6.5% y 21.7% respectivamente), así como de un aumento esperado en el precio del gas natural previsto para 2021.</w:t>
      </w:r>
      <w:r w:rsidR="002849D9" w:rsidRPr="0050035B">
        <w:rPr>
          <w:rFonts w:ascii="Century Gothic" w:hAnsi="Century Gothic"/>
          <w:lang w:val="es-MX"/>
        </w:rPr>
        <w:t xml:space="preserve"> El precio máximo de referencia resultante para la mezcla mexicana de crudo de exportación en 2022 es de 55.1 dpb. </w:t>
      </w:r>
    </w:p>
    <w:p w:rsidR="002849D9" w:rsidRPr="0050035B" w:rsidRDefault="002849D9" w:rsidP="00453DB9">
      <w:pPr>
        <w:spacing w:line="360" w:lineRule="auto"/>
        <w:ind w:firstLine="720"/>
        <w:jc w:val="both"/>
        <w:rPr>
          <w:rFonts w:ascii="Century Gothic" w:hAnsi="Century Gothic"/>
          <w:lang w:val="es-MX"/>
        </w:rPr>
      </w:pPr>
    </w:p>
    <w:p w:rsidR="002A43CD" w:rsidRPr="007A3904" w:rsidRDefault="002A43CD" w:rsidP="002A43CD">
      <w:pPr>
        <w:spacing w:line="360" w:lineRule="auto"/>
        <w:rPr>
          <w:rFonts w:ascii="Century Gothic" w:hAnsi="Century Gothic"/>
          <w:b/>
          <w:lang w:val="es-MX"/>
        </w:rPr>
      </w:pPr>
      <w:r w:rsidRPr="007A3904">
        <w:rPr>
          <w:rFonts w:ascii="Century Gothic" w:hAnsi="Century Gothic"/>
          <w:b/>
          <w:lang w:val="es-MX"/>
        </w:rPr>
        <w:t>2.1.</w:t>
      </w:r>
      <w:r w:rsidR="00453DB9" w:rsidRPr="007A3904">
        <w:rPr>
          <w:rFonts w:ascii="Century Gothic" w:hAnsi="Century Gothic"/>
          <w:b/>
          <w:lang w:val="es-MX"/>
        </w:rPr>
        <w:t>8</w:t>
      </w:r>
      <w:r w:rsidRPr="007A3904">
        <w:rPr>
          <w:rFonts w:ascii="Century Gothic" w:hAnsi="Century Gothic"/>
          <w:b/>
          <w:lang w:val="es-MX"/>
        </w:rPr>
        <w:t>. Tasa de Interés (Cetes 28 días, %)</w:t>
      </w:r>
    </w:p>
    <w:p w:rsidR="00374971" w:rsidRPr="0050035B" w:rsidRDefault="00374971" w:rsidP="00374971">
      <w:pPr>
        <w:spacing w:line="360" w:lineRule="auto"/>
        <w:jc w:val="both"/>
        <w:rPr>
          <w:rFonts w:ascii="Century Gothic" w:hAnsi="Century Gothic"/>
          <w:lang w:val="es-MX"/>
        </w:rPr>
      </w:pPr>
      <w:r w:rsidRPr="0050035B">
        <w:rPr>
          <w:rFonts w:ascii="Century Gothic" w:hAnsi="Century Gothic"/>
          <w:lang w:val="es-MX"/>
        </w:rPr>
        <w:t xml:space="preserve">Respecto a la tasa de Cetes, De acuerdo con los CGPE se usa para fin de periodo 4.8%, que incorpora las decisiones de política monetaria ya tomadas y posibles reacciones ante la trayectoria de inflación anticipada. </w:t>
      </w:r>
    </w:p>
    <w:p w:rsidR="00374971" w:rsidRPr="0050035B" w:rsidRDefault="00374971" w:rsidP="00274E81">
      <w:pPr>
        <w:spacing w:line="360" w:lineRule="auto"/>
        <w:ind w:firstLine="720"/>
        <w:jc w:val="both"/>
        <w:rPr>
          <w:rFonts w:ascii="Century Gothic" w:hAnsi="Century Gothic"/>
          <w:lang w:val="es-MX"/>
        </w:rPr>
      </w:pPr>
    </w:p>
    <w:p w:rsidR="00374971" w:rsidRPr="0050035B" w:rsidRDefault="00374971" w:rsidP="00374971">
      <w:pPr>
        <w:spacing w:line="360" w:lineRule="auto"/>
        <w:ind w:firstLine="720"/>
        <w:jc w:val="both"/>
        <w:rPr>
          <w:rFonts w:ascii="Century Gothic" w:hAnsi="Century Gothic"/>
          <w:lang w:val="es-MX"/>
        </w:rPr>
      </w:pPr>
      <w:r w:rsidRPr="0050035B">
        <w:rPr>
          <w:rFonts w:ascii="Century Gothic" w:hAnsi="Century Gothic"/>
          <w:lang w:val="es-MX"/>
        </w:rPr>
        <w:t>Se asume un incremento gradual de la tasa de Cetes a 28 días, para ubicarla en 5.3% al cierre de 2022, misma que se mantendrá en 2023. Para los siguientes años, se estima que aumente a 5.5% en 2024 y se mantenga en ese nivel hasta 2027, en línea con el pronóstico de la actividad económica, la inflación y la política monetaria del Banco de México. Igualmente, se prevé que el diferencial entre las tasas de referencia de México y EE. UU. se estabilice de manera paulatina.</w:t>
      </w:r>
    </w:p>
    <w:p w:rsidR="008D7D5A" w:rsidRPr="0050035B" w:rsidRDefault="008D7D5A" w:rsidP="00140CC6">
      <w:pPr>
        <w:spacing w:line="360" w:lineRule="auto"/>
        <w:jc w:val="both"/>
        <w:rPr>
          <w:rFonts w:ascii="Century Gothic" w:hAnsi="Century Gothic"/>
          <w:lang w:val="es-MX"/>
        </w:rPr>
      </w:pPr>
    </w:p>
    <w:p w:rsidR="00A31768" w:rsidRPr="0050035B" w:rsidRDefault="00CF13F6" w:rsidP="00A31768">
      <w:pPr>
        <w:spacing w:line="360" w:lineRule="auto"/>
        <w:jc w:val="both"/>
        <w:rPr>
          <w:rFonts w:ascii="Century Gothic" w:hAnsi="Century Gothic"/>
          <w:b/>
          <w:lang w:val="es-MX"/>
        </w:rPr>
      </w:pPr>
      <w:r w:rsidRPr="0050035B">
        <w:rPr>
          <w:rFonts w:ascii="Century Gothic" w:hAnsi="Century Gothic"/>
          <w:b/>
          <w:lang w:val="es-MX"/>
        </w:rPr>
        <w:t>2.2</w:t>
      </w:r>
      <w:r w:rsidR="00A31768" w:rsidRPr="0050035B">
        <w:rPr>
          <w:rFonts w:ascii="Century Gothic" w:hAnsi="Century Gothic"/>
          <w:b/>
          <w:lang w:val="es-MX"/>
        </w:rPr>
        <w:t xml:space="preserve"> </w:t>
      </w:r>
      <w:r w:rsidR="00CD0511" w:rsidRPr="0050035B">
        <w:rPr>
          <w:rFonts w:ascii="Century Gothic" w:hAnsi="Century Gothic"/>
          <w:b/>
          <w:lang w:val="es-MX"/>
        </w:rPr>
        <w:t>Contexto Local</w:t>
      </w:r>
    </w:p>
    <w:p w:rsidR="00453DB9" w:rsidRPr="0050035B" w:rsidRDefault="00453DB9" w:rsidP="005B300D">
      <w:pPr>
        <w:spacing w:line="360" w:lineRule="auto"/>
        <w:jc w:val="both"/>
        <w:rPr>
          <w:rFonts w:ascii="Century Gothic" w:hAnsi="Century Gothic"/>
          <w:b/>
          <w:lang w:val="es-MX"/>
        </w:rPr>
      </w:pPr>
    </w:p>
    <w:p w:rsidR="00A31768" w:rsidRPr="0050035B" w:rsidRDefault="00CF13F6" w:rsidP="005B300D">
      <w:pPr>
        <w:spacing w:line="360" w:lineRule="auto"/>
        <w:jc w:val="both"/>
        <w:rPr>
          <w:rFonts w:ascii="Century Gothic" w:hAnsi="Century Gothic"/>
          <w:b/>
          <w:lang w:val="es-MX"/>
        </w:rPr>
      </w:pPr>
      <w:r w:rsidRPr="0050035B">
        <w:rPr>
          <w:rFonts w:ascii="Century Gothic" w:hAnsi="Century Gothic"/>
          <w:b/>
          <w:lang w:val="es-MX"/>
        </w:rPr>
        <w:t xml:space="preserve">2.2.1 </w:t>
      </w:r>
      <w:r w:rsidR="00A31768" w:rsidRPr="0050035B">
        <w:rPr>
          <w:rFonts w:ascii="Century Gothic" w:hAnsi="Century Gothic"/>
          <w:b/>
          <w:lang w:val="es-MX"/>
        </w:rPr>
        <w:t>Aspectos Generales</w:t>
      </w:r>
    </w:p>
    <w:p w:rsidR="00CC2D4A" w:rsidRPr="0050035B" w:rsidRDefault="0040665F" w:rsidP="001D7AF1">
      <w:pPr>
        <w:tabs>
          <w:tab w:val="left" w:pos="4111"/>
        </w:tabs>
        <w:spacing w:line="360" w:lineRule="auto"/>
        <w:jc w:val="both"/>
        <w:rPr>
          <w:rFonts w:ascii="Century Gothic" w:hAnsi="Century Gothic"/>
          <w:lang w:val="es-MX"/>
        </w:rPr>
      </w:pPr>
      <w:r w:rsidRPr="0040665F">
        <w:rPr>
          <w:rFonts w:ascii="Century Gothic" w:hAnsi="Century Gothic"/>
          <w:lang w:val="es-MX"/>
        </w:rPr>
        <w:t>Monterrey es uno de los municipios más grandes del país, se encuentra dentro de los 10 municipios más poblados, con 1 millón, 142 mil, 994 habitantes, conformado por una población de 578 mil, 189 mujeres (50.6%) que apenas sobrepasa a los 564 mil, 805 hombres (49.4%)</w:t>
      </w:r>
      <w:r w:rsidRPr="0040665F">
        <w:rPr>
          <w:rStyle w:val="Refdenotaalpie"/>
          <w:rFonts w:ascii="Century Gothic" w:hAnsi="Century Gothic"/>
          <w:lang w:val="es-MX"/>
        </w:rPr>
        <w:footnoteReference w:id="6"/>
      </w:r>
      <w:r w:rsidRPr="0040665F">
        <w:rPr>
          <w:rFonts w:ascii="Century Gothic" w:hAnsi="Century Gothic"/>
          <w:lang w:val="es-MX"/>
        </w:rPr>
        <w:t>, de acuerdo los indicadores del Censo Nacional de Población y Vivienda 2020</w:t>
      </w:r>
      <w:r w:rsidRPr="0040665F">
        <w:rPr>
          <w:rStyle w:val="Refdenotaalpie"/>
          <w:rFonts w:ascii="Century Gothic" w:hAnsi="Century Gothic"/>
          <w:lang w:val="es-MX"/>
        </w:rPr>
        <w:footnoteReference w:id="7"/>
      </w:r>
      <w:r w:rsidRPr="0040665F">
        <w:rPr>
          <w:rFonts w:ascii="Century Gothic" w:hAnsi="Century Gothic"/>
          <w:lang w:val="es-MX"/>
        </w:rPr>
        <w:t xml:space="preserve"> y cuenta con una mediana poblacional de 34 años y una relación de 97.6 hombres por cada 100 mujeres</w:t>
      </w:r>
      <w:r w:rsidRPr="0040665F">
        <w:rPr>
          <w:rStyle w:val="Refdenotaalpie"/>
          <w:rFonts w:ascii="Century Gothic" w:hAnsi="Century Gothic"/>
          <w:lang w:val="es-MX"/>
        </w:rPr>
        <w:footnoteReference w:id="8"/>
      </w:r>
      <w:r w:rsidRPr="0040665F">
        <w:rPr>
          <w:rFonts w:ascii="Century Gothic" w:hAnsi="Century Gothic"/>
          <w:lang w:val="es-MX"/>
        </w:rPr>
        <w:t xml:space="preserve">. </w:t>
      </w:r>
      <w:r w:rsidR="00CC2D4A" w:rsidRPr="0040665F">
        <w:rPr>
          <w:rFonts w:ascii="Century Gothic" w:hAnsi="Century Gothic"/>
          <w:lang w:val="es-MX"/>
        </w:rPr>
        <w:t>Monterrey se encuentra poblacionalmente</w:t>
      </w:r>
      <w:r w:rsidR="00CC2D4A" w:rsidRPr="0050035B">
        <w:rPr>
          <w:rFonts w:ascii="Century Gothic" w:hAnsi="Century Gothic"/>
          <w:lang w:val="es-MX"/>
        </w:rPr>
        <w:t xml:space="preserve"> a la par de municipios como: Tijuana, Baja California; León, Guanajuato; Puebla, Puebla; Guadalajara, Jalisco; Juárez, Chihuahua; Zapopan, Jalisco; Ecatepec en el Estado de México y la Delegación Iztapalapa en </w:t>
      </w:r>
      <w:r w:rsidR="00DD3161" w:rsidRPr="0050035B">
        <w:rPr>
          <w:rFonts w:ascii="Century Gothic" w:hAnsi="Century Gothic"/>
          <w:lang w:val="es-MX"/>
        </w:rPr>
        <w:t>la Ciudad de México</w:t>
      </w:r>
      <w:r w:rsidR="00CC2D4A" w:rsidRPr="0050035B">
        <w:rPr>
          <w:rFonts w:ascii="Century Gothic" w:hAnsi="Century Gothic"/>
          <w:lang w:val="es-MX"/>
        </w:rPr>
        <w:t xml:space="preserve">. Todos estos municipios rondan alrededor de los 1.6 millones de habitantes. </w:t>
      </w:r>
    </w:p>
    <w:p w:rsidR="00CC2D4A" w:rsidRPr="0050035B" w:rsidRDefault="00CC2D4A" w:rsidP="00AF590B">
      <w:pPr>
        <w:spacing w:line="360" w:lineRule="auto"/>
        <w:jc w:val="both"/>
        <w:rPr>
          <w:rFonts w:ascii="Century Gothic" w:hAnsi="Century Gothic"/>
          <w:lang w:val="es-MX"/>
        </w:rPr>
      </w:pPr>
    </w:p>
    <w:p w:rsidR="006036C3" w:rsidRPr="0050035B" w:rsidRDefault="00CC2D4A" w:rsidP="00CC2D4A">
      <w:pPr>
        <w:spacing w:line="360" w:lineRule="auto"/>
        <w:jc w:val="both"/>
        <w:rPr>
          <w:rFonts w:ascii="Century Gothic" w:hAnsi="Century Gothic"/>
          <w:lang w:val="es-MX"/>
        </w:rPr>
      </w:pPr>
      <w:r w:rsidRPr="0050035B">
        <w:rPr>
          <w:rFonts w:ascii="Century Gothic" w:hAnsi="Century Gothic"/>
          <w:lang w:val="es-MX"/>
        </w:rPr>
        <w:lastRenderedPageBreak/>
        <w:tab/>
        <w:t xml:space="preserve">De lo </w:t>
      </w:r>
      <w:r w:rsidRPr="0040665F">
        <w:rPr>
          <w:rFonts w:ascii="Century Gothic" w:hAnsi="Century Gothic"/>
          <w:lang w:val="es-MX"/>
        </w:rPr>
        <w:t>anterior deriva que l</w:t>
      </w:r>
      <w:r w:rsidR="006036C3" w:rsidRPr="0040665F">
        <w:rPr>
          <w:rFonts w:ascii="Century Gothic" w:hAnsi="Century Gothic"/>
          <w:lang w:val="es-MX"/>
        </w:rPr>
        <w:t>a ciudad de Monterrey es la cabecera de la</w:t>
      </w:r>
      <w:r w:rsidRPr="0040665F">
        <w:rPr>
          <w:rFonts w:ascii="Century Gothic" w:hAnsi="Century Gothic"/>
          <w:lang w:val="es-MX"/>
        </w:rPr>
        <w:t xml:space="preserve"> denominada</w:t>
      </w:r>
      <w:r w:rsidR="006036C3" w:rsidRPr="0040665F">
        <w:rPr>
          <w:rFonts w:ascii="Century Gothic" w:hAnsi="Century Gothic"/>
          <w:lang w:val="es-MX"/>
        </w:rPr>
        <w:t xml:space="preserve"> “Zona Metropolitana de Monter</w:t>
      </w:r>
      <w:r w:rsidR="001D7AF1" w:rsidRPr="0040665F">
        <w:rPr>
          <w:rFonts w:ascii="Century Gothic" w:hAnsi="Century Gothic"/>
          <w:lang w:val="es-MX"/>
        </w:rPr>
        <w:t xml:space="preserve">rey” (ZMM) que según datos </w:t>
      </w:r>
      <w:r w:rsidR="0040665F" w:rsidRPr="0040665F">
        <w:rPr>
          <w:rFonts w:ascii="Century Gothic" w:hAnsi="Century Gothic"/>
          <w:lang w:val="es-MX"/>
        </w:rPr>
        <w:t>del censo de población y Vivienda 2020, realizado en conjunto por el INEGI, segunda zona metropolitana más grande del país con una población de 5 millones, 341 mil, 171 personas. Dato que resulta de suma importancia si se considera que el total de la población del Estado de Nuevo León asciende a 5 millones, 784 mil, 442</w:t>
      </w:r>
      <w:r w:rsidR="0040665F" w:rsidRPr="0040665F">
        <w:rPr>
          <w:rStyle w:val="Refdenotaalpie"/>
          <w:rFonts w:ascii="Century Gothic" w:hAnsi="Century Gothic"/>
          <w:lang w:val="es-MX"/>
        </w:rPr>
        <w:footnoteReference w:id="9"/>
      </w:r>
      <w:r w:rsidR="0040665F" w:rsidRPr="0040665F">
        <w:rPr>
          <w:rFonts w:ascii="Century Gothic" w:hAnsi="Century Gothic"/>
          <w:lang w:val="es-MX"/>
        </w:rPr>
        <w:t xml:space="preserve"> personas, significa que en la ZMM se concentra el 92.34% </w:t>
      </w:r>
      <w:r w:rsidR="00DF3964" w:rsidRPr="0040665F">
        <w:rPr>
          <w:rFonts w:ascii="Century Gothic" w:hAnsi="Century Gothic"/>
          <w:lang w:val="es-MX"/>
        </w:rPr>
        <w:t xml:space="preserve"> del total de la poblaci</w:t>
      </w:r>
      <w:r w:rsidR="00647CC1" w:rsidRPr="0040665F">
        <w:rPr>
          <w:rFonts w:ascii="Century Gothic" w:hAnsi="Century Gothic"/>
          <w:lang w:val="es-MX"/>
        </w:rPr>
        <w:t xml:space="preserve">ón del Estado. Específicamente </w:t>
      </w:r>
      <w:r w:rsidR="00A96EAC" w:rsidRPr="0040665F">
        <w:rPr>
          <w:rFonts w:ascii="Century Gothic" w:hAnsi="Century Gothic"/>
          <w:lang w:val="es-MX"/>
        </w:rPr>
        <w:t xml:space="preserve">el </w:t>
      </w:r>
      <w:r w:rsidR="00786E93" w:rsidRPr="0040665F">
        <w:rPr>
          <w:rFonts w:ascii="Century Gothic" w:hAnsi="Century Gothic"/>
          <w:lang w:val="es-MX"/>
        </w:rPr>
        <w:t xml:space="preserve">Municipio </w:t>
      </w:r>
      <w:r w:rsidR="00A96EAC" w:rsidRPr="0040665F">
        <w:rPr>
          <w:rFonts w:ascii="Century Gothic" w:hAnsi="Century Gothic"/>
          <w:lang w:val="es-MX"/>
        </w:rPr>
        <w:t xml:space="preserve">de </w:t>
      </w:r>
      <w:r w:rsidR="00647CC1" w:rsidRPr="0040665F">
        <w:rPr>
          <w:rFonts w:ascii="Century Gothic" w:hAnsi="Century Gothic"/>
          <w:lang w:val="es-MX"/>
        </w:rPr>
        <w:t>Monterrey</w:t>
      </w:r>
      <w:r w:rsidR="00A96EAC" w:rsidRPr="0040665F">
        <w:rPr>
          <w:rFonts w:ascii="Century Gothic" w:hAnsi="Century Gothic"/>
          <w:lang w:val="es-MX"/>
        </w:rPr>
        <w:t>,</w:t>
      </w:r>
      <w:r w:rsidR="00647CC1" w:rsidRPr="0040665F">
        <w:rPr>
          <w:rFonts w:ascii="Century Gothic" w:hAnsi="Century Gothic"/>
          <w:lang w:val="es-MX"/>
        </w:rPr>
        <w:t xml:space="preserve"> al ser el centro y corazón de</w:t>
      </w:r>
      <w:r w:rsidR="00647CC1" w:rsidRPr="0050035B">
        <w:rPr>
          <w:rFonts w:ascii="Century Gothic" w:hAnsi="Century Gothic"/>
          <w:lang w:val="es-MX"/>
        </w:rPr>
        <w:t xml:space="preserve"> dicha zona</w:t>
      </w:r>
      <w:r w:rsidR="00A96EAC" w:rsidRPr="0050035B">
        <w:rPr>
          <w:rFonts w:ascii="Century Gothic" w:hAnsi="Century Gothic"/>
          <w:lang w:val="es-MX"/>
        </w:rPr>
        <w:t>,</w:t>
      </w:r>
      <w:r w:rsidR="00647CC1" w:rsidRPr="0050035B">
        <w:rPr>
          <w:rFonts w:ascii="Century Gothic" w:hAnsi="Century Gothic"/>
          <w:lang w:val="es-MX"/>
        </w:rPr>
        <w:t xml:space="preserve"> es un punto de tránsito obligado para quienes </w:t>
      </w:r>
      <w:r w:rsidR="00A96EAC" w:rsidRPr="0050035B">
        <w:rPr>
          <w:rFonts w:ascii="Century Gothic" w:hAnsi="Century Gothic"/>
          <w:lang w:val="es-MX"/>
        </w:rPr>
        <w:t>habitan</w:t>
      </w:r>
      <w:r w:rsidR="00647CC1" w:rsidRPr="0050035B">
        <w:rPr>
          <w:rFonts w:ascii="Century Gothic" w:hAnsi="Century Gothic"/>
          <w:lang w:val="es-MX"/>
        </w:rPr>
        <w:t xml:space="preserve"> la ZMM, </w:t>
      </w:r>
      <w:r w:rsidR="00C9029E" w:rsidRPr="0050035B">
        <w:rPr>
          <w:rFonts w:ascii="Century Gothic" w:hAnsi="Century Gothic"/>
          <w:lang w:val="es-MX"/>
        </w:rPr>
        <w:t xml:space="preserve">tengan o no su domicilio en ella. </w:t>
      </w:r>
    </w:p>
    <w:p w:rsidR="006036C3" w:rsidRPr="0050035B" w:rsidRDefault="006036C3" w:rsidP="00AF590B">
      <w:pPr>
        <w:spacing w:line="360" w:lineRule="auto"/>
        <w:ind w:firstLine="720"/>
        <w:jc w:val="both"/>
        <w:rPr>
          <w:rFonts w:ascii="Century Gothic" w:hAnsi="Century Gothic"/>
          <w:lang w:val="es-MX"/>
        </w:rPr>
      </w:pPr>
    </w:p>
    <w:p w:rsidR="00DE63ED" w:rsidRPr="0050035B" w:rsidRDefault="006036C3" w:rsidP="00AF590B">
      <w:pPr>
        <w:spacing w:line="360" w:lineRule="auto"/>
        <w:ind w:firstLine="720"/>
        <w:jc w:val="both"/>
        <w:rPr>
          <w:rFonts w:ascii="Century Gothic" w:hAnsi="Century Gothic"/>
          <w:lang w:val="es-MX"/>
        </w:rPr>
      </w:pPr>
      <w:r w:rsidRPr="0050035B">
        <w:rPr>
          <w:rFonts w:ascii="Century Gothic" w:hAnsi="Century Gothic"/>
          <w:lang w:val="es-MX"/>
        </w:rPr>
        <w:t>Monterrey es una de las ciudades más desarrolladas de México, sin mencionar que es uno de los principales centros económicos, de negocios e industriales del país, gracias a lo cual ha forjado una cultura e historia únicas. De acuerdo a Mercer Human Resource Consulting</w:t>
      </w:r>
      <w:r w:rsidR="00DE63ED" w:rsidRPr="0050035B">
        <w:rPr>
          <w:rFonts w:ascii="Century Gothic" w:hAnsi="Century Gothic"/>
          <w:lang w:val="es-MX"/>
        </w:rPr>
        <w:t xml:space="preserve"> en el Ranking de Mejor Calidad de Vida</w:t>
      </w:r>
      <w:r w:rsidR="00DE63ED" w:rsidRPr="0050035B">
        <w:rPr>
          <w:rStyle w:val="Refdenotaalpie"/>
          <w:rFonts w:ascii="Century Gothic" w:hAnsi="Century Gothic"/>
          <w:lang w:val="es-MX"/>
        </w:rPr>
        <w:footnoteReference w:id="10"/>
      </w:r>
      <w:r w:rsidR="00DE63ED" w:rsidRPr="0050035B">
        <w:rPr>
          <w:rFonts w:ascii="Century Gothic" w:hAnsi="Century Gothic"/>
          <w:lang w:val="es-MX"/>
        </w:rPr>
        <w:t xml:space="preserve">, </w:t>
      </w:r>
      <w:r w:rsidRPr="0050035B">
        <w:rPr>
          <w:rFonts w:ascii="Century Gothic" w:hAnsi="Century Gothic"/>
          <w:lang w:val="es-MX"/>
        </w:rPr>
        <w:t>en 20</w:t>
      </w:r>
      <w:r w:rsidR="00DE63ED" w:rsidRPr="0050035B">
        <w:rPr>
          <w:rFonts w:ascii="Century Gothic" w:hAnsi="Century Gothic"/>
          <w:lang w:val="es-MX"/>
        </w:rPr>
        <w:t>19</w:t>
      </w:r>
      <w:r w:rsidRPr="0050035B">
        <w:rPr>
          <w:rFonts w:ascii="Century Gothic" w:hAnsi="Century Gothic"/>
          <w:lang w:val="es-MX"/>
        </w:rPr>
        <w:t xml:space="preserve"> fue considerad</w:t>
      </w:r>
      <w:r w:rsidR="00DE63ED" w:rsidRPr="0050035B">
        <w:rPr>
          <w:rFonts w:ascii="Century Gothic" w:hAnsi="Century Gothic"/>
          <w:lang w:val="es-MX"/>
        </w:rPr>
        <w:t>a</w:t>
      </w:r>
      <w:r w:rsidRPr="0050035B">
        <w:rPr>
          <w:rFonts w:ascii="Century Gothic" w:hAnsi="Century Gothic"/>
          <w:lang w:val="es-MX"/>
        </w:rPr>
        <w:t xml:space="preserve"> la ciudad con la mejor calidad de vida </w:t>
      </w:r>
      <w:r w:rsidR="00DE63ED" w:rsidRPr="0050035B">
        <w:rPr>
          <w:rFonts w:ascii="Century Gothic" w:hAnsi="Century Gothic"/>
          <w:lang w:val="es-MX"/>
        </w:rPr>
        <w:t>en</w:t>
      </w:r>
      <w:r w:rsidRPr="0050035B">
        <w:rPr>
          <w:rFonts w:ascii="Century Gothic" w:hAnsi="Century Gothic"/>
          <w:lang w:val="es-MX"/>
        </w:rPr>
        <w:t xml:space="preserve"> México</w:t>
      </w:r>
      <w:r w:rsidR="00DE63ED" w:rsidRPr="0050035B">
        <w:rPr>
          <w:rFonts w:ascii="Century Gothic" w:hAnsi="Century Gothic"/>
          <w:lang w:val="es-MX"/>
        </w:rPr>
        <w:t xml:space="preserve">, sitio que ha ocupado por 4 ediciones </w:t>
      </w:r>
      <w:r w:rsidR="00DD10B0" w:rsidRPr="0050035B">
        <w:rPr>
          <w:rFonts w:ascii="Century Gothic" w:hAnsi="Century Gothic"/>
          <w:lang w:val="es-MX"/>
        </w:rPr>
        <w:t xml:space="preserve">consecutivas y a </w:t>
      </w:r>
      <w:r w:rsidR="00DE63ED" w:rsidRPr="0050035B">
        <w:rPr>
          <w:rFonts w:ascii="Century Gothic" w:hAnsi="Century Gothic"/>
          <w:lang w:val="es-MX"/>
        </w:rPr>
        <w:t xml:space="preserve">nivel </w:t>
      </w:r>
      <w:r w:rsidR="00EF3E3F" w:rsidRPr="0050035B">
        <w:rPr>
          <w:rFonts w:ascii="Century Gothic" w:hAnsi="Century Gothic"/>
          <w:lang w:val="es-MX"/>
        </w:rPr>
        <w:t>mundial</w:t>
      </w:r>
      <w:r w:rsidR="00DE63ED" w:rsidRPr="0050035B">
        <w:rPr>
          <w:rFonts w:ascii="Century Gothic" w:hAnsi="Century Gothic"/>
          <w:lang w:val="es-MX"/>
        </w:rPr>
        <w:t xml:space="preserve"> se encuentra en la posici</w:t>
      </w:r>
      <w:r w:rsidR="00DD10B0" w:rsidRPr="0050035B">
        <w:rPr>
          <w:rFonts w:ascii="Century Gothic" w:hAnsi="Century Gothic"/>
          <w:lang w:val="es-MX"/>
        </w:rPr>
        <w:t>ón 113.</w:t>
      </w:r>
    </w:p>
    <w:p w:rsidR="00E467B8" w:rsidRPr="0050035B" w:rsidRDefault="00E467B8" w:rsidP="00AF590B">
      <w:pPr>
        <w:spacing w:line="360" w:lineRule="auto"/>
        <w:ind w:firstLine="720"/>
        <w:jc w:val="both"/>
        <w:rPr>
          <w:rFonts w:ascii="Century Gothic" w:hAnsi="Century Gothic"/>
          <w:lang w:val="es-MX"/>
        </w:rPr>
      </w:pPr>
    </w:p>
    <w:p w:rsidR="006036C3" w:rsidRPr="0040665F" w:rsidRDefault="006036C3" w:rsidP="00AF590B">
      <w:pPr>
        <w:spacing w:line="360" w:lineRule="auto"/>
        <w:ind w:firstLine="720"/>
        <w:jc w:val="both"/>
        <w:rPr>
          <w:rFonts w:ascii="Century Gothic" w:hAnsi="Century Gothic"/>
          <w:lang w:val="es-MX"/>
        </w:rPr>
      </w:pPr>
      <w:r w:rsidRPr="0050035B">
        <w:rPr>
          <w:rFonts w:ascii="Century Gothic" w:hAnsi="Century Gothic"/>
          <w:lang w:val="es-MX"/>
        </w:rPr>
        <w:t>Con datos del INEGI a 2017 la ciudad de Monterrey cuenta con una ocupación de 466</w:t>
      </w:r>
      <w:r w:rsidR="00E467B8" w:rsidRPr="0050035B">
        <w:rPr>
          <w:rFonts w:ascii="Century Gothic" w:hAnsi="Century Gothic"/>
          <w:lang w:val="es-MX"/>
        </w:rPr>
        <w:t xml:space="preserve"> mil</w:t>
      </w:r>
      <w:r w:rsidRPr="0050035B">
        <w:rPr>
          <w:rFonts w:ascii="Century Gothic" w:hAnsi="Century Gothic"/>
          <w:lang w:val="es-MX"/>
        </w:rPr>
        <w:t xml:space="preserve"> 408 habitantes, lo cual representa un 42.05% de la población del </w:t>
      </w:r>
      <w:r w:rsidR="00AF590B" w:rsidRPr="0050035B">
        <w:rPr>
          <w:rFonts w:ascii="Century Gothic" w:hAnsi="Century Gothic"/>
          <w:lang w:val="es-MX"/>
        </w:rPr>
        <w:t>Municipio</w:t>
      </w:r>
      <w:r w:rsidR="00AF590B" w:rsidRPr="0050035B">
        <w:rPr>
          <w:rStyle w:val="Refdenotaalpie"/>
          <w:rFonts w:ascii="Century Gothic" w:hAnsi="Century Gothic"/>
          <w:lang w:val="es-MX"/>
        </w:rPr>
        <w:footnoteReference w:id="11"/>
      </w:r>
      <w:r w:rsidR="000B0C98" w:rsidRPr="0050035B">
        <w:rPr>
          <w:rFonts w:ascii="Century Gothic" w:hAnsi="Century Gothic"/>
          <w:lang w:val="es-MX"/>
        </w:rPr>
        <w:t>.</w:t>
      </w:r>
      <w:r w:rsidR="00AF590B" w:rsidRPr="0050035B">
        <w:rPr>
          <w:rFonts w:ascii="Century Gothic" w:hAnsi="Century Gothic"/>
          <w:lang w:val="es-MX"/>
        </w:rPr>
        <w:t xml:space="preserve"> </w:t>
      </w:r>
      <w:r w:rsidR="00E467B8" w:rsidRPr="0050035B">
        <w:rPr>
          <w:rFonts w:ascii="Century Gothic" w:hAnsi="Century Gothic"/>
          <w:lang w:val="es-MX"/>
        </w:rPr>
        <w:t>De acuerdo a</w:t>
      </w:r>
      <w:r w:rsidRPr="0050035B">
        <w:rPr>
          <w:rFonts w:ascii="Century Gothic" w:hAnsi="Century Gothic"/>
          <w:lang w:val="es-MX"/>
        </w:rPr>
        <w:t xml:space="preserve"> </w:t>
      </w:r>
      <w:r w:rsidRPr="0040665F">
        <w:rPr>
          <w:rFonts w:ascii="Century Gothic" w:hAnsi="Century Gothic"/>
          <w:lang w:val="es-MX"/>
        </w:rPr>
        <w:t xml:space="preserve">datos estadísticos del INEGI la PEA </w:t>
      </w:r>
      <w:r w:rsidRPr="0040665F">
        <w:rPr>
          <w:rFonts w:ascii="Century Gothic" w:hAnsi="Century Gothic"/>
          <w:lang w:val="es-MX"/>
        </w:rPr>
        <w:lastRenderedPageBreak/>
        <w:t>pas</w:t>
      </w:r>
      <w:r w:rsidR="00E467B8" w:rsidRPr="0040665F">
        <w:rPr>
          <w:rFonts w:ascii="Century Gothic" w:hAnsi="Century Gothic"/>
          <w:lang w:val="es-MX"/>
        </w:rPr>
        <w:t>ó</w:t>
      </w:r>
      <w:r w:rsidRPr="0040665F">
        <w:rPr>
          <w:rFonts w:ascii="Century Gothic" w:hAnsi="Century Gothic"/>
          <w:lang w:val="es-MX"/>
        </w:rPr>
        <w:t xml:space="preserve"> de 36% en 2010 a 52.3% en 2015</w:t>
      </w:r>
      <w:r w:rsidR="0040665F" w:rsidRPr="0040665F">
        <w:rPr>
          <w:rFonts w:ascii="Century Gothic" w:hAnsi="Century Gothic"/>
          <w:lang w:val="es-MX"/>
        </w:rPr>
        <w:t xml:space="preserve"> y que para el 2020 asciende a un 60%</w:t>
      </w:r>
      <w:r w:rsidR="0040665F" w:rsidRPr="0040665F">
        <w:rPr>
          <w:rStyle w:val="Refdenotaalpie"/>
          <w:rFonts w:ascii="Century Gothic" w:hAnsi="Century Gothic"/>
          <w:lang w:val="es-MX"/>
        </w:rPr>
        <w:footnoteReference w:id="12"/>
      </w:r>
      <w:r w:rsidR="0040665F" w:rsidRPr="0040665F">
        <w:rPr>
          <w:rFonts w:ascii="Century Gothic" w:hAnsi="Century Gothic"/>
          <w:lang w:val="es-MX"/>
        </w:rPr>
        <w:t>.</w:t>
      </w:r>
    </w:p>
    <w:p w:rsidR="006036C3" w:rsidRPr="0050035B" w:rsidRDefault="006036C3" w:rsidP="00AF590B">
      <w:pPr>
        <w:spacing w:line="360" w:lineRule="auto"/>
        <w:ind w:firstLine="720"/>
        <w:jc w:val="both"/>
        <w:rPr>
          <w:rFonts w:ascii="Century Gothic" w:hAnsi="Century Gothic"/>
          <w:lang w:val="es-MX"/>
        </w:rPr>
      </w:pPr>
    </w:p>
    <w:p w:rsidR="00AF590B" w:rsidRDefault="006036C3" w:rsidP="00AF590B">
      <w:pPr>
        <w:spacing w:line="360" w:lineRule="auto"/>
        <w:ind w:firstLine="720"/>
        <w:jc w:val="both"/>
        <w:rPr>
          <w:rFonts w:ascii="Century Gothic" w:hAnsi="Century Gothic" w:cs="Times New Roman"/>
          <w:lang w:val="es-MX"/>
        </w:rPr>
      </w:pPr>
      <w:r w:rsidRPr="0050035B">
        <w:rPr>
          <w:rFonts w:ascii="Century Gothic" w:hAnsi="Century Gothic"/>
          <w:lang w:val="es-MX"/>
        </w:rPr>
        <w:t>El sector de los funcionarios, profesionistas, técnicos y administrativos cuenta con el mayor número de</w:t>
      </w:r>
      <w:r w:rsidR="00E467B8" w:rsidRPr="0050035B">
        <w:rPr>
          <w:rFonts w:ascii="Century Gothic" w:hAnsi="Century Gothic"/>
          <w:lang w:val="es-MX"/>
        </w:rPr>
        <w:t xml:space="preserve"> personal ocupado con un 41.03%</w:t>
      </w:r>
      <w:r w:rsidRPr="0050035B">
        <w:rPr>
          <w:rFonts w:ascii="Century Gothic" w:hAnsi="Century Gothic"/>
          <w:lang w:val="es-MX"/>
        </w:rPr>
        <w:t xml:space="preserve"> los comerciantes y trabajadores en servicios diversos ocupan el segundo lugar con un 37.18% del total de ocupados. Los trabajadores en industrias representan el 19.96% del total de ocupados y los trabajadores agropecuarios el </w:t>
      </w:r>
      <w:r w:rsidR="00AF590B" w:rsidRPr="0050035B">
        <w:rPr>
          <w:rFonts w:ascii="Century Gothic" w:hAnsi="Century Gothic"/>
          <w:lang w:val="es-MX"/>
        </w:rPr>
        <w:t>0.11%</w:t>
      </w:r>
      <w:r w:rsidR="00AF590B" w:rsidRPr="0050035B">
        <w:rPr>
          <w:rStyle w:val="Refdenotaalpie"/>
          <w:rFonts w:ascii="Century Gothic" w:hAnsi="Century Gothic"/>
          <w:lang w:val="es-MX"/>
        </w:rPr>
        <w:footnoteReference w:id="13"/>
      </w:r>
      <w:r w:rsidR="00AF590B" w:rsidRPr="0050035B">
        <w:rPr>
          <w:rFonts w:ascii="Century Gothic" w:hAnsi="Century Gothic"/>
          <w:lang w:val="es-MX"/>
        </w:rPr>
        <w:t>.</w:t>
      </w:r>
      <w:r w:rsidR="00AF590B" w:rsidRPr="0050035B">
        <w:rPr>
          <w:rFonts w:ascii="Century Gothic" w:hAnsi="Century Gothic" w:cs="Times New Roman"/>
          <w:lang w:val="es-MX"/>
        </w:rPr>
        <w:t xml:space="preserve"> </w:t>
      </w:r>
    </w:p>
    <w:p w:rsidR="00E574B6" w:rsidRPr="0050035B" w:rsidRDefault="00E574B6" w:rsidP="00AF590B">
      <w:pPr>
        <w:spacing w:line="360" w:lineRule="auto"/>
        <w:ind w:firstLine="720"/>
        <w:jc w:val="both"/>
        <w:rPr>
          <w:rFonts w:ascii="Century Gothic" w:hAnsi="Century Gothic" w:cs="Times New Roman"/>
          <w:lang w:val="es-MX"/>
        </w:rPr>
      </w:pPr>
    </w:p>
    <w:p w:rsidR="006036C3" w:rsidRDefault="006036C3" w:rsidP="00AF590B">
      <w:pPr>
        <w:spacing w:line="360" w:lineRule="auto"/>
        <w:ind w:firstLine="720"/>
        <w:jc w:val="both"/>
        <w:rPr>
          <w:rFonts w:ascii="Century Gothic" w:hAnsi="Century Gothic"/>
          <w:lang w:val="es-MX"/>
        </w:rPr>
      </w:pPr>
      <w:r w:rsidRPr="0050035B">
        <w:rPr>
          <w:rFonts w:ascii="Century Gothic" w:hAnsi="Century Gothic"/>
          <w:lang w:val="es-MX"/>
        </w:rPr>
        <w:t>Monterrey es una de las ciudades con el mayor crecimiento económico, una industria prolífera y un ambiente de constante cambio y renovación propicio para el desarrollo de negocios; la ciudad se encuentra en el tercer lugar en lo que a servicios de salud respecta. Ocupó el quinto lugar de las ciudades con menor población en el sector informal con el 11.96% y el décimo lugar en cuanto a menor población desocupada</w:t>
      </w:r>
      <w:r w:rsidR="00E467B8" w:rsidRPr="0050035B">
        <w:rPr>
          <w:rFonts w:ascii="Century Gothic" w:hAnsi="Century Gothic"/>
          <w:lang w:val="es-MX"/>
        </w:rPr>
        <w:t>.</w:t>
      </w:r>
      <w:r w:rsidRPr="0050035B">
        <w:rPr>
          <w:rFonts w:ascii="Century Gothic" w:hAnsi="Century Gothic"/>
          <w:lang w:val="es-MX"/>
        </w:rPr>
        <w:t xml:space="preserve"> Monterrey es la base de muchas empresas nacionales e internacionales como CEMEX, FEMSA, Grupo ALFA, Gr</w:t>
      </w:r>
      <w:r w:rsidR="00C70E2C" w:rsidRPr="0050035B">
        <w:rPr>
          <w:rFonts w:ascii="Century Gothic" w:hAnsi="Century Gothic"/>
          <w:lang w:val="es-MX"/>
        </w:rPr>
        <w:t>upo Xignux, ARCA Continental</w:t>
      </w:r>
      <w:r w:rsidRPr="0050035B">
        <w:rPr>
          <w:rFonts w:ascii="Century Gothic" w:hAnsi="Century Gothic"/>
          <w:lang w:val="es-MX"/>
        </w:rPr>
        <w:t>, Ternium, Vitro, Lamosa, Grupo Allen, Cydsa, entre otras.</w:t>
      </w:r>
      <w:r w:rsidR="004C6D99" w:rsidRPr="0050035B">
        <w:rPr>
          <w:rFonts w:ascii="Century Gothic" w:hAnsi="Century Gothic"/>
          <w:lang w:val="es-MX"/>
        </w:rPr>
        <w:t xml:space="preserve"> Al cierre de julio de 2020, según información de “DATA Nuevo León</w:t>
      </w:r>
      <w:r w:rsidR="008F27D5">
        <w:rPr>
          <w:rFonts w:ascii="Century Gothic" w:hAnsi="Century Gothic"/>
          <w:lang w:val="es-MX"/>
        </w:rPr>
        <w:t>”</w:t>
      </w:r>
      <w:r w:rsidR="004C6D99" w:rsidRPr="0050035B">
        <w:rPr>
          <w:rFonts w:ascii="Century Gothic" w:hAnsi="Century Gothic"/>
          <w:lang w:val="es-MX"/>
        </w:rPr>
        <w:t>, emitida por la Secretaría de Economía y Trabajo, el Municipio de Monterrey tiene exportaciones por 124.2 millones de dólares e importaciones por 101.2 millones de dólares.</w:t>
      </w:r>
    </w:p>
    <w:p w:rsidR="007A3904" w:rsidRPr="0050035B" w:rsidRDefault="007A3904" w:rsidP="00AF590B">
      <w:pPr>
        <w:spacing w:line="360" w:lineRule="auto"/>
        <w:ind w:firstLine="720"/>
        <w:jc w:val="both"/>
        <w:rPr>
          <w:rFonts w:ascii="Century Gothic" w:hAnsi="Century Gothic"/>
          <w:lang w:val="es-MX"/>
        </w:rPr>
      </w:pPr>
    </w:p>
    <w:p w:rsidR="00E574B6" w:rsidRDefault="00E574B6" w:rsidP="00A35253">
      <w:pPr>
        <w:spacing w:line="360" w:lineRule="auto"/>
        <w:ind w:firstLine="720"/>
        <w:jc w:val="both"/>
        <w:rPr>
          <w:rFonts w:ascii="Century Gothic" w:hAnsi="Century Gothic"/>
          <w:lang w:val="es-MX"/>
        </w:rPr>
      </w:pPr>
    </w:p>
    <w:p w:rsidR="00E574B6" w:rsidRDefault="00E574B6" w:rsidP="00A35253">
      <w:pPr>
        <w:spacing w:line="360" w:lineRule="auto"/>
        <w:ind w:firstLine="720"/>
        <w:jc w:val="both"/>
        <w:rPr>
          <w:rFonts w:ascii="Century Gothic" w:hAnsi="Century Gothic"/>
          <w:lang w:val="es-MX"/>
        </w:rPr>
      </w:pPr>
    </w:p>
    <w:p w:rsidR="00504976" w:rsidRPr="0050035B" w:rsidRDefault="00504976" w:rsidP="00A35253">
      <w:pPr>
        <w:spacing w:line="360" w:lineRule="auto"/>
        <w:ind w:firstLine="720"/>
        <w:jc w:val="both"/>
        <w:rPr>
          <w:rFonts w:ascii="Century Gothic" w:hAnsi="Century Gothic"/>
          <w:lang w:val="es-MX"/>
        </w:rPr>
      </w:pPr>
      <w:r w:rsidRPr="0050035B">
        <w:rPr>
          <w:rFonts w:ascii="Century Gothic" w:hAnsi="Century Gothic"/>
          <w:lang w:val="es-MX"/>
        </w:rPr>
        <w:lastRenderedPageBreak/>
        <w:t>Las principales ventas internacionales de Monterrey en 2020</w:t>
      </w:r>
      <w:r w:rsidRPr="0050035B">
        <w:rPr>
          <w:rStyle w:val="Refdenotaalpie"/>
          <w:rFonts w:ascii="Century Gothic" w:hAnsi="Century Gothic"/>
          <w:lang w:val="es-MX"/>
        </w:rPr>
        <w:footnoteReference w:id="14"/>
      </w:r>
      <w:r w:rsidRPr="0050035B">
        <w:rPr>
          <w:rFonts w:ascii="Century Gothic" w:hAnsi="Century Gothic"/>
          <w:lang w:val="es-MX"/>
        </w:rPr>
        <w:t xml:space="preserve"> </w:t>
      </w:r>
      <w:r w:rsidR="00A35253" w:rsidRPr="00A35253">
        <w:rPr>
          <w:rFonts w:ascii="Century Gothic" w:hAnsi="Century Gothic"/>
          <w:lang w:val="es-MX"/>
        </w:rPr>
        <w:t xml:space="preserve">fueron </w:t>
      </w:r>
      <w:r w:rsidR="00A35253">
        <w:rPr>
          <w:rFonts w:ascii="Century Gothic" w:hAnsi="Century Gothic"/>
          <w:lang w:val="es-MX"/>
        </w:rPr>
        <w:t>Cerveza de Malta ($</w:t>
      </w:r>
      <w:r w:rsidR="00A35253" w:rsidRPr="00A35253">
        <w:rPr>
          <w:rFonts w:ascii="Century Gothic" w:hAnsi="Century Gothic"/>
          <w:lang w:val="es-MX"/>
        </w:rPr>
        <w:t xml:space="preserve">439MDD), Jugos de Frutas </w:t>
      </w:r>
      <w:r w:rsidR="00A35253">
        <w:rPr>
          <w:rFonts w:ascii="Century Gothic" w:hAnsi="Century Gothic"/>
          <w:lang w:val="es-MX"/>
        </w:rPr>
        <w:t>o Jugos de Frutas y Vegetales (</w:t>
      </w:r>
      <w:r w:rsidR="00A35253" w:rsidRPr="00A35253">
        <w:rPr>
          <w:rFonts w:ascii="Century Gothic" w:hAnsi="Century Gothic"/>
          <w:lang w:val="es-MX"/>
        </w:rPr>
        <w:t>$212MDD) y Maquin</w:t>
      </w:r>
      <w:r w:rsidR="00A35253">
        <w:rPr>
          <w:rFonts w:ascii="Century Gothic" w:hAnsi="Century Gothic"/>
          <w:lang w:val="es-MX"/>
        </w:rPr>
        <w:t>aria para Aire Acondicionado (</w:t>
      </w:r>
      <w:r w:rsidR="00A35253" w:rsidRPr="00A35253">
        <w:rPr>
          <w:rFonts w:ascii="Century Gothic" w:hAnsi="Century Gothic"/>
          <w:lang w:val="es-MX"/>
        </w:rPr>
        <w:t>$145MDD).  Los principales destinos de ventas internacionales en 2020 fueron Estados Unidos (US$1,796MDD), Países Ba</w:t>
      </w:r>
      <w:r w:rsidR="00A35253">
        <w:rPr>
          <w:rFonts w:ascii="Century Gothic" w:hAnsi="Century Gothic"/>
          <w:lang w:val="es-MX"/>
        </w:rPr>
        <w:t>jos ($34.8MDD) y Guatemala (</w:t>
      </w:r>
      <w:r w:rsidR="00A35253" w:rsidRPr="00A35253">
        <w:rPr>
          <w:rFonts w:ascii="Century Gothic" w:hAnsi="Century Gothic"/>
          <w:lang w:val="es-MX"/>
        </w:rPr>
        <w:t>$31.4MDD</w:t>
      </w:r>
      <w:r w:rsidRPr="0050035B">
        <w:rPr>
          <w:rFonts w:ascii="Century Gothic" w:hAnsi="Century Gothic"/>
          <w:lang w:val="es-MX"/>
        </w:rPr>
        <w:t>).</w:t>
      </w:r>
      <w:r w:rsidRPr="0050035B">
        <w:rPr>
          <w:rStyle w:val="Refdenotaalpie"/>
          <w:rFonts w:ascii="Century Gothic" w:hAnsi="Century Gothic"/>
          <w:lang w:val="es-MX"/>
        </w:rPr>
        <w:footnoteReference w:id="15"/>
      </w:r>
    </w:p>
    <w:p w:rsidR="00504976" w:rsidRPr="0050035B" w:rsidRDefault="00504976" w:rsidP="00504976">
      <w:pPr>
        <w:spacing w:line="360" w:lineRule="auto"/>
        <w:ind w:firstLine="720"/>
        <w:jc w:val="both"/>
        <w:rPr>
          <w:rFonts w:ascii="Century Gothic" w:hAnsi="Century Gothic"/>
          <w:lang w:val="es-MX"/>
        </w:rPr>
      </w:pPr>
    </w:p>
    <w:p w:rsidR="00504976" w:rsidRDefault="00A35253" w:rsidP="00A23446">
      <w:pPr>
        <w:spacing w:line="360" w:lineRule="auto"/>
        <w:ind w:firstLine="720"/>
        <w:jc w:val="both"/>
        <w:rPr>
          <w:rFonts w:ascii="Century Gothic" w:hAnsi="Century Gothic"/>
          <w:lang w:val="es-MX"/>
        </w:rPr>
      </w:pPr>
      <w:r w:rsidRPr="00A35253">
        <w:rPr>
          <w:rFonts w:ascii="Century Gothic" w:hAnsi="Century Gothic"/>
          <w:lang w:val="es-MX"/>
        </w:rPr>
        <w:t>Las principales compras internacionales de Monterrey en 2020 fueron</w:t>
      </w:r>
      <w:r>
        <w:rPr>
          <w:rFonts w:ascii="Century Gothic" w:hAnsi="Century Gothic"/>
          <w:lang w:val="es-MX"/>
        </w:rPr>
        <w:t xml:space="preserve"> chapas y tiras de aluminio, (</w:t>
      </w:r>
      <w:r w:rsidRPr="00A35253">
        <w:rPr>
          <w:rFonts w:ascii="Century Gothic" w:hAnsi="Century Gothic"/>
          <w:lang w:val="es-MX"/>
        </w:rPr>
        <w:t>$356M</w:t>
      </w:r>
      <w:r>
        <w:rPr>
          <w:rFonts w:ascii="Century Gothic" w:hAnsi="Century Gothic"/>
          <w:lang w:val="es-MX"/>
        </w:rPr>
        <w:t>DD), hidrocarburos cíclicos (</w:t>
      </w:r>
      <w:r w:rsidRPr="00A35253">
        <w:rPr>
          <w:rFonts w:ascii="Century Gothic" w:hAnsi="Century Gothic"/>
          <w:lang w:val="es-MX"/>
        </w:rPr>
        <w:t>$352M</w:t>
      </w:r>
      <w:r>
        <w:rPr>
          <w:rFonts w:ascii="Century Gothic" w:hAnsi="Century Gothic"/>
          <w:lang w:val="es-MX"/>
        </w:rPr>
        <w:t>DD</w:t>
      </w:r>
      <w:r w:rsidRPr="00A35253">
        <w:rPr>
          <w:rFonts w:ascii="Century Gothic" w:hAnsi="Century Gothic"/>
          <w:lang w:val="es-MX"/>
        </w:rPr>
        <w:t xml:space="preserve">) y carbonatos; peroxocarbonatos (percarbonatos); Carbonato de Amonio Comercial que </w:t>
      </w:r>
      <w:r>
        <w:rPr>
          <w:rFonts w:ascii="Century Gothic" w:hAnsi="Century Gothic"/>
          <w:lang w:val="es-MX"/>
        </w:rPr>
        <w:t>contenga carbamato de amonio (</w:t>
      </w:r>
      <w:r w:rsidRPr="00A35253">
        <w:rPr>
          <w:rFonts w:ascii="Century Gothic" w:hAnsi="Century Gothic"/>
          <w:lang w:val="es-MX"/>
        </w:rPr>
        <w:t>$136M</w:t>
      </w:r>
      <w:r>
        <w:rPr>
          <w:rFonts w:ascii="Century Gothic" w:hAnsi="Century Gothic"/>
          <w:lang w:val="es-MX"/>
        </w:rPr>
        <w:t>DD</w:t>
      </w:r>
      <w:r w:rsidRPr="00A35253">
        <w:rPr>
          <w:rFonts w:ascii="Century Gothic" w:hAnsi="Century Gothic"/>
          <w:lang w:val="es-MX"/>
        </w:rPr>
        <w:t xml:space="preserve">). Los principales países de origen de las compras internacionales </w:t>
      </w:r>
      <w:r>
        <w:rPr>
          <w:rFonts w:ascii="Century Gothic" w:hAnsi="Century Gothic"/>
          <w:lang w:val="es-MX"/>
        </w:rPr>
        <w:t>en 2020 fueron Estados Unidos (</w:t>
      </w:r>
      <w:r w:rsidRPr="00A35253">
        <w:rPr>
          <w:rFonts w:ascii="Century Gothic" w:hAnsi="Century Gothic"/>
          <w:lang w:val="es-MX"/>
        </w:rPr>
        <w:t>$2,236M</w:t>
      </w:r>
      <w:r>
        <w:rPr>
          <w:rFonts w:ascii="Century Gothic" w:hAnsi="Century Gothic"/>
          <w:lang w:val="es-MX"/>
        </w:rPr>
        <w:t>DD</w:t>
      </w:r>
      <w:r w:rsidRPr="00A35253">
        <w:rPr>
          <w:rFonts w:ascii="Century Gothic" w:hAnsi="Century Gothic"/>
          <w:lang w:val="es-MX"/>
        </w:rPr>
        <w:t xml:space="preserve">), </w:t>
      </w:r>
      <w:r>
        <w:rPr>
          <w:rFonts w:ascii="Century Gothic" w:hAnsi="Century Gothic"/>
          <w:lang w:val="es-MX"/>
        </w:rPr>
        <w:t>China ($1,012MDD) y Alemania (</w:t>
      </w:r>
      <w:r w:rsidRPr="00A35253">
        <w:rPr>
          <w:rFonts w:ascii="Century Gothic" w:hAnsi="Century Gothic"/>
          <w:lang w:val="es-MX"/>
        </w:rPr>
        <w:t>$204M</w:t>
      </w:r>
      <w:r>
        <w:rPr>
          <w:rFonts w:ascii="Century Gothic" w:hAnsi="Century Gothic"/>
          <w:lang w:val="es-MX"/>
        </w:rPr>
        <w:t>DD</w:t>
      </w:r>
      <w:r w:rsidR="00504976" w:rsidRPr="0050035B">
        <w:rPr>
          <w:rFonts w:ascii="Century Gothic" w:hAnsi="Century Gothic"/>
          <w:lang w:val="es-MX"/>
        </w:rPr>
        <w:t>)</w:t>
      </w:r>
      <w:r w:rsidR="00504976" w:rsidRPr="0050035B">
        <w:rPr>
          <w:rStyle w:val="Refdenotaalpie"/>
          <w:rFonts w:ascii="Century Gothic" w:hAnsi="Century Gothic"/>
          <w:lang w:val="es-MX"/>
        </w:rPr>
        <w:footnoteReference w:id="16"/>
      </w:r>
      <w:r w:rsidR="00504976" w:rsidRPr="0050035B">
        <w:rPr>
          <w:rFonts w:ascii="Century Gothic" w:hAnsi="Century Gothic"/>
          <w:lang w:val="es-MX"/>
        </w:rPr>
        <w:t>.</w:t>
      </w:r>
    </w:p>
    <w:p w:rsidR="007A3904" w:rsidRPr="0050035B" w:rsidRDefault="007A3904" w:rsidP="00504976">
      <w:pPr>
        <w:spacing w:line="360" w:lineRule="auto"/>
        <w:ind w:firstLine="720"/>
        <w:jc w:val="both"/>
        <w:rPr>
          <w:rFonts w:ascii="Century Gothic" w:hAnsi="Century Gothic"/>
          <w:lang w:val="es-MX"/>
        </w:rPr>
      </w:pPr>
    </w:p>
    <w:p w:rsidR="00504976" w:rsidRPr="0050035B" w:rsidRDefault="00A35253" w:rsidP="00AF590B">
      <w:pPr>
        <w:spacing w:line="360" w:lineRule="auto"/>
        <w:ind w:firstLine="720"/>
        <w:jc w:val="both"/>
        <w:rPr>
          <w:rFonts w:ascii="Century Gothic" w:hAnsi="Century Gothic"/>
          <w:lang w:val="es-MX"/>
        </w:rPr>
      </w:pPr>
      <w:r w:rsidRPr="00A35253">
        <w:rPr>
          <w:rFonts w:ascii="Century Gothic" w:hAnsi="Century Gothic"/>
          <w:lang w:val="es-MX"/>
        </w:rPr>
        <w:t>En junio de 2021, las ventas internaciones de Monterrey</w:t>
      </w:r>
      <w:r>
        <w:rPr>
          <w:rFonts w:ascii="Century Gothic" w:hAnsi="Century Gothic"/>
          <w:lang w:val="es-MX"/>
        </w:rPr>
        <w:t xml:space="preserve"> fueron $322MDD y un total de </w:t>
      </w:r>
      <w:r w:rsidRPr="00A35253">
        <w:rPr>
          <w:rFonts w:ascii="Century Gothic" w:hAnsi="Century Gothic"/>
          <w:lang w:val="es-MX"/>
        </w:rPr>
        <w:t>$660M</w:t>
      </w:r>
      <w:r>
        <w:rPr>
          <w:rFonts w:ascii="Century Gothic" w:hAnsi="Century Gothic"/>
          <w:lang w:val="es-MX"/>
        </w:rPr>
        <w:t>DD</w:t>
      </w:r>
      <w:r w:rsidRPr="00A35253">
        <w:rPr>
          <w:rFonts w:ascii="Century Gothic" w:hAnsi="Century Gothic"/>
          <w:lang w:val="es-MX"/>
        </w:rPr>
        <w:t xml:space="preserve"> en compras internacionales. Para este mes el balance comerc</w:t>
      </w:r>
      <w:r>
        <w:rPr>
          <w:rFonts w:ascii="Century Gothic" w:hAnsi="Century Gothic"/>
          <w:lang w:val="es-MX"/>
        </w:rPr>
        <w:t>ial neto de Monterrey fue de -</w:t>
      </w:r>
      <w:r w:rsidRPr="00A35253">
        <w:rPr>
          <w:rFonts w:ascii="Century Gothic" w:hAnsi="Century Gothic"/>
          <w:lang w:val="es-MX"/>
        </w:rPr>
        <w:t>$338M</w:t>
      </w:r>
      <w:r>
        <w:rPr>
          <w:rFonts w:ascii="Century Gothic" w:hAnsi="Century Gothic"/>
          <w:lang w:val="es-MX"/>
        </w:rPr>
        <w:t>DD</w:t>
      </w:r>
      <w:r w:rsidRPr="00A35253">
        <w:rPr>
          <w:rStyle w:val="Refdenotaalpie"/>
          <w:rFonts w:ascii="Century Gothic" w:hAnsi="Century Gothic"/>
          <w:vertAlign w:val="baseline"/>
          <w:lang w:val="es-MX"/>
        </w:rPr>
        <w:t xml:space="preserve"> </w:t>
      </w:r>
      <w:r w:rsidR="00504976" w:rsidRPr="0050035B">
        <w:rPr>
          <w:rStyle w:val="Refdenotaalpie"/>
          <w:rFonts w:ascii="Century Gothic" w:hAnsi="Century Gothic"/>
          <w:lang w:val="es-MX"/>
        </w:rPr>
        <w:footnoteReference w:id="17"/>
      </w:r>
      <w:r w:rsidR="00504976" w:rsidRPr="0050035B">
        <w:rPr>
          <w:rFonts w:ascii="Century Gothic" w:hAnsi="Century Gothic"/>
          <w:lang w:val="es-MX"/>
        </w:rPr>
        <w:t>.</w:t>
      </w:r>
    </w:p>
    <w:p w:rsidR="00504976" w:rsidRPr="0050035B" w:rsidRDefault="00504976" w:rsidP="00AF590B">
      <w:pPr>
        <w:spacing w:line="360" w:lineRule="auto"/>
        <w:ind w:firstLine="720"/>
        <w:jc w:val="both"/>
        <w:rPr>
          <w:rFonts w:ascii="Century Gothic" w:hAnsi="Century Gothic"/>
          <w:lang w:val="es-MX"/>
        </w:rPr>
      </w:pPr>
    </w:p>
    <w:p w:rsidR="000F74E8" w:rsidRPr="0050035B" w:rsidRDefault="00A35253" w:rsidP="00EF3E3F">
      <w:pPr>
        <w:spacing w:line="360" w:lineRule="auto"/>
        <w:ind w:firstLine="720"/>
        <w:jc w:val="both"/>
        <w:rPr>
          <w:rFonts w:ascii="Century Gothic" w:hAnsi="Century Gothic" w:cs="Times New Roman"/>
          <w:lang w:val="es-MX"/>
        </w:rPr>
      </w:pPr>
      <w:r w:rsidRPr="00A35253">
        <w:rPr>
          <w:rFonts w:ascii="Century Gothic" w:hAnsi="Century Gothic"/>
          <w:lang w:val="es-MX"/>
        </w:rPr>
        <w:t>Aunado a lo anterior, la ciudad es una de las más desarrolladas en lo que a educación respecta, como se muestra en la tabla 2.2, para 2017, el 26.84% de su población mayor de 3 años asiste a algún centro educativo y cuenta con un porcentaje del 84.22% de población que sabe leer y escribir</w:t>
      </w:r>
      <w:r w:rsidR="00AF590B" w:rsidRPr="0050035B">
        <w:rPr>
          <w:rStyle w:val="Refdenotaalpie"/>
          <w:rFonts w:ascii="Century Gothic" w:hAnsi="Century Gothic"/>
          <w:lang w:val="es-MX"/>
        </w:rPr>
        <w:footnoteReference w:id="18"/>
      </w:r>
      <w:r w:rsidR="00AF590B" w:rsidRPr="0050035B">
        <w:rPr>
          <w:rFonts w:ascii="Century Gothic" w:hAnsi="Century Gothic"/>
          <w:lang w:val="es-MX"/>
        </w:rPr>
        <w:t xml:space="preserve">. </w:t>
      </w:r>
    </w:p>
    <w:p w:rsidR="003520C6" w:rsidRDefault="003520C6" w:rsidP="000B0C98">
      <w:pPr>
        <w:ind w:left="720"/>
        <w:jc w:val="center"/>
        <w:rPr>
          <w:rFonts w:ascii="Century Gothic" w:hAnsi="Century Gothic"/>
          <w:b/>
          <w:sz w:val="22"/>
          <w:szCs w:val="22"/>
          <w:lang w:val="es-MX"/>
        </w:rPr>
      </w:pPr>
    </w:p>
    <w:p w:rsidR="00E574B6" w:rsidRPr="0050035B" w:rsidRDefault="00E574B6" w:rsidP="000B0C98">
      <w:pPr>
        <w:ind w:left="720"/>
        <w:jc w:val="center"/>
        <w:rPr>
          <w:rFonts w:ascii="Century Gothic" w:hAnsi="Century Gothic"/>
          <w:b/>
          <w:sz w:val="22"/>
          <w:szCs w:val="22"/>
          <w:lang w:val="es-MX"/>
        </w:rPr>
      </w:pPr>
    </w:p>
    <w:p w:rsidR="00DC2811" w:rsidRPr="0050035B" w:rsidRDefault="000D4776" w:rsidP="000B0C98">
      <w:pPr>
        <w:ind w:left="720"/>
        <w:jc w:val="center"/>
        <w:rPr>
          <w:rFonts w:ascii="Century Gothic" w:hAnsi="Century Gothic"/>
          <w:sz w:val="22"/>
          <w:szCs w:val="22"/>
          <w:lang w:val="es-MX"/>
        </w:rPr>
      </w:pPr>
      <w:r w:rsidRPr="0050035B">
        <w:rPr>
          <w:rFonts w:ascii="Century Gothic" w:hAnsi="Century Gothic"/>
          <w:b/>
          <w:sz w:val="22"/>
          <w:szCs w:val="22"/>
          <w:lang w:val="es-MX"/>
        </w:rPr>
        <w:lastRenderedPageBreak/>
        <w:t>Tabla 2</w:t>
      </w:r>
      <w:r w:rsidR="00DC2811" w:rsidRPr="0050035B">
        <w:rPr>
          <w:rFonts w:ascii="Century Gothic" w:hAnsi="Century Gothic"/>
          <w:b/>
          <w:sz w:val="22"/>
          <w:szCs w:val="22"/>
          <w:lang w:val="es-MX"/>
        </w:rPr>
        <w:t>.</w:t>
      </w:r>
      <w:r w:rsidR="00E467B8" w:rsidRPr="0050035B">
        <w:rPr>
          <w:rFonts w:ascii="Century Gothic" w:hAnsi="Century Gothic"/>
          <w:b/>
          <w:sz w:val="22"/>
          <w:szCs w:val="22"/>
          <w:lang w:val="es-MX"/>
        </w:rPr>
        <w:t>2</w:t>
      </w:r>
      <w:r w:rsidR="00453DB9" w:rsidRPr="0050035B">
        <w:rPr>
          <w:rFonts w:ascii="Century Gothic" w:hAnsi="Century Gothic"/>
          <w:b/>
          <w:sz w:val="22"/>
          <w:szCs w:val="22"/>
          <w:lang w:val="es-MX"/>
        </w:rPr>
        <w:t>.</w:t>
      </w:r>
      <w:r w:rsidR="00DC2811" w:rsidRPr="0050035B">
        <w:rPr>
          <w:rFonts w:ascii="Century Gothic" w:hAnsi="Century Gothic"/>
          <w:sz w:val="22"/>
          <w:szCs w:val="22"/>
          <w:lang w:val="es-MX"/>
        </w:rPr>
        <w:t xml:space="preserve"> </w:t>
      </w:r>
      <w:r w:rsidR="00AF590B" w:rsidRPr="0050035B">
        <w:rPr>
          <w:rFonts w:ascii="Century Gothic" w:hAnsi="Century Gothic"/>
          <w:sz w:val="22"/>
          <w:szCs w:val="22"/>
          <w:lang w:val="es-MX"/>
        </w:rPr>
        <w:t>Alumnos inscritos y personal docente en educación básica y media superior de la modalidad escolarizada a inicio de cursos por municipio y nivel educativo según sexo.</w:t>
      </w:r>
    </w:p>
    <w:tbl>
      <w:tblPr>
        <w:tblStyle w:val="Tablaconcuadrcula"/>
        <w:tblW w:w="5000" w:type="pct"/>
        <w:tblInd w:w="-5" w:type="dxa"/>
        <w:tblLook w:val="04A0" w:firstRow="1" w:lastRow="0" w:firstColumn="1" w:lastColumn="0" w:noHBand="0" w:noVBand="1"/>
      </w:tblPr>
      <w:tblGrid>
        <w:gridCol w:w="1949"/>
        <w:gridCol w:w="977"/>
        <w:gridCol w:w="1255"/>
        <w:gridCol w:w="977"/>
        <w:gridCol w:w="1255"/>
        <w:gridCol w:w="990"/>
        <w:gridCol w:w="1402"/>
      </w:tblGrid>
      <w:tr w:rsidR="00011E1A" w:rsidRPr="0050035B" w:rsidTr="00E44364">
        <w:tc>
          <w:tcPr>
            <w:tcW w:w="1108" w:type="pct"/>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011E1A" w:rsidRPr="0050035B" w:rsidRDefault="00011E1A">
            <w:pPr>
              <w:jc w:val="center"/>
              <w:rPr>
                <w:rFonts w:ascii="Century Gothic" w:hAnsi="Century Gothic"/>
                <w:sz w:val="18"/>
              </w:rPr>
            </w:pPr>
            <w:r w:rsidRPr="0050035B">
              <w:rPr>
                <w:rFonts w:ascii="Century Gothic" w:hAnsi="Century Gothic"/>
                <w:sz w:val="18"/>
              </w:rPr>
              <w:t>Educación</w:t>
            </w:r>
          </w:p>
        </w:tc>
        <w:tc>
          <w:tcPr>
            <w:tcW w:w="1826" w:type="pct"/>
            <w:gridSpan w:val="3"/>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011E1A" w:rsidRPr="0050035B" w:rsidRDefault="00011E1A">
            <w:pPr>
              <w:jc w:val="center"/>
              <w:rPr>
                <w:rFonts w:ascii="Century Gothic" w:hAnsi="Century Gothic"/>
                <w:sz w:val="18"/>
              </w:rPr>
            </w:pPr>
            <w:r w:rsidRPr="0050035B">
              <w:rPr>
                <w:rFonts w:ascii="Century Gothic" w:hAnsi="Century Gothic"/>
                <w:sz w:val="18"/>
              </w:rPr>
              <w:t>Alumnos inscritos</w:t>
            </w:r>
          </w:p>
        </w:tc>
        <w:tc>
          <w:tcPr>
            <w:tcW w:w="2066" w:type="pct"/>
            <w:gridSpan w:val="3"/>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Personal docente a/</w:t>
            </w:r>
          </w:p>
        </w:tc>
      </w:tr>
      <w:tr w:rsidR="000B0C98" w:rsidRPr="0050035B" w:rsidTr="00E44364">
        <w:tc>
          <w:tcPr>
            <w:tcW w:w="1108" w:type="pct"/>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011E1A" w:rsidRPr="0050035B" w:rsidRDefault="00011E1A">
            <w:pPr>
              <w:rPr>
                <w:rFonts w:ascii="Century Gothic" w:eastAsia="Arial" w:hAnsi="Century Gothic" w:cs="Arial"/>
                <w:color w:val="000000"/>
                <w:sz w:val="18"/>
              </w:rPr>
            </w:pPr>
          </w:p>
        </w:tc>
        <w:tc>
          <w:tcPr>
            <w:tcW w:w="55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011E1A" w:rsidRPr="0050035B" w:rsidRDefault="00011E1A">
            <w:pPr>
              <w:jc w:val="center"/>
              <w:rPr>
                <w:rFonts w:ascii="Century Gothic" w:hAnsi="Century Gothic"/>
                <w:b/>
                <w:sz w:val="18"/>
              </w:rPr>
            </w:pPr>
            <w:r w:rsidRPr="0050035B">
              <w:rPr>
                <w:rFonts w:ascii="Century Gothic" w:hAnsi="Century Gothic"/>
                <w:b/>
                <w:sz w:val="18"/>
              </w:rPr>
              <w:t>Total</w:t>
            </w:r>
          </w:p>
        </w:tc>
        <w:tc>
          <w:tcPr>
            <w:tcW w:w="714"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011E1A" w:rsidRPr="0050035B" w:rsidRDefault="00011E1A">
            <w:pPr>
              <w:jc w:val="center"/>
              <w:rPr>
                <w:rFonts w:ascii="Century Gothic" w:hAnsi="Century Gothic"/>
                <w:sz w:val="18"/>
              </w:rPr>
            </w:pPr>
            <w:r w:rsidRPr="0050035B">
              <w:rPr>
                <w:rFonts w:ascii="Century Gothic" w:hAnsi="Century Gothic"/>
                <w:sz w:val="18"/>
              </w:rPr>
              <w:t>Hombres</w:t>
            </w:r>
          </w:p>
        </w:tc>
        <w:tc>
          <w:tcPr>
            <w:tcW w:w="555"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011E1A" w:rsidRPr="0050035B" w:rsidRDefault="00011E1A">
            <w:pPr>
              <w:jc w:val="center"/>
              <w:rPr>
                <w:rFonts w:ascii="Century Gothic" w:hAnsi="Century Gothic"/>
                <w:sz w:val="18"/>
              </w:rPr>
            </w:pPr>
            <w:r w:rsidRPr="0050035B">
              <w:rPr>
                <w:rFonts w:ascii="Century Gothic" w:hAnsi="Century Gothic"/>
                <w:sz w:val="18"/>
              </w:rPr>
              <w:t>Mujeres</w:t>
            </w:r>
          </w:p>
        </w:tc>
        <w:tc>
          <w:tcPr>
            <w:tcW w:w="714"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011E1A" w:rsidRPr="0050035B" w:rsidRDefault="00011E1A">
            <w:pPr>
              <w:jc w:val="center"/>
              <w:rPr>
                <w:rFonts w:ascii="Century Gothic" w:hAnsi="Century Gothic"/>
                <w:sz w:val="18"/>
              </w:rPr>
            </w:pPr>
            <w:r w:rsidRPr="0050035B">
              <w:rPr>
                <w:rFonts w:ascii="Century Gothic" w:hAnsi="Century Gothic"/>
                <w:sz w:val="18"/>
              </w:rPr>
              <w:t>Total</w:t>
            </w:r>
          </w:p>
        </w:tc>
        <w:tc>
          <w:tcPr>
            <w:tcW w:w="555"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011E1A" w:rsidRPr="0050035B" w:rsidRDefault="00011E1A">
            <w:pPr>
              <w:jc w:val="center"/>
              <w:rPr>
                <w:rFonts w:ascii="Century Gothic" w:hAnsi="Century Gothic"/>
                <w:sz w:val="18"/>
              </w:rPr>
            </w:pPr>
            <w:r w:rsidRPr="0050035B">
              <w:rPr>
                <w:rFonts w:ascii="Century Gothic" w:hAnsi="Century Gothic"/>
                <w:sz w:val="18"/>
              </w:rPr>
              <w:t>Hombres</w:t>
            </w:r>
          </w:p>
        </w:tc>
        <w:tc>
          <w:tcPr>
            <w:tcW w:w="79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011E1A" w:rsidRPr="0050035B" w:rsidRDefault="00011E1A">
            <w:pPr>
              <w:jc w:val="center"/>
              <w:rPr>
                <w:rFonts w:ascii="Century Gothic" w:hAnsi="Century Gothic"/>
                <w:sz w:val="18"/>
              </w:rPr>
            </w:pPr>
            <w:r w:rsidRPr="0050035B">
              <w:rPr>
                <w:rFonts w:ascii="Century Gothic" w:hAnsi="Century Gothic"/>
                <w:sz w:val="18"/>
              </w:rPr>
              <w:t>Mujeres</w:t>
            </w:r>
          </w:p>
        </w:tc>
      </w:tr>
      <w:tr w:rsidR="000B0C98" w:rsidRPr="0050035B" w:rsidTr="00E44364">
        <w:tc>
          <w:tcPr>
            <w:tcW w:w="110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011E1A" w:rsidRPr="0050035B" w:rsidRDefault="00011E1A">
            <w:pPr>
              <w:jc w:val="center"/>
              <w:rPr>
                <w:rFonts w:ascii="Century Gothic" w:hAnsi="Century Gothic"/>
                <w:b/>
                <w:sz w:val="18"/>
              </w:rPr>
            </w:pPr>
            <w:r w:rsidRPr="0050035B">
              <w:rPr>
                <w:rFonts w:ascii="Century Gothic" w:hAnsi="Century Gothic"/>
                <w:b/>
                <w:sz w:val="18"/>
              </w:rPr>
              <w:t>Total</w:t>
            </w:r>
          </w:p>
        </w:tc>
        <w:tc>
          <w:tcPr>
            <w:tcW w:w="556"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b/>
                <w:bCs/>
                <w:sz w:val="18"/>
                <w:szCs w:val="16"/>
              </w:rPr>
              <w:t>297 812</w:t>
            </w:r>
          </w:p>
        </w:tc>
        <w:tc>
          <w:tcPr>
            <w:tcW w:w="714"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151 628</w:t>
            </w:r>
          </w:p>
        </w:tc>
        <w:tc>
          <w:tcPr>
            <w:tcW w:w="555"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146 184</w:t>
            </w:r>
          </w:p>
        </w:tc>
        <w:tc>
          <w:tcPr>
            <w:tcW w:w="714"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b/>
                <w:bCs/>
                <w:sz w:val="18"/>
                <w:szCs w:val="16"/>
              </w:rPr>
              <w:t>19 251</w:t>
            </w:r>
          </w:p>
        </w:tc>
        <w:tc>
          <w:tcPr>
            <w:tcW w:w="555"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6 655</w:t>
            </w:r>
          </w:p>
        </w:tc>
        <w:tc>
          <w:tcPr>
            <w:tcW w:w="796"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12 596</w:t>
            </w:r>
          </w:p>
        </w:tc>
      </w:tr>
      <w:tr w:rsidR="000B0C98" w:rsidRPr="0050035B" w:rsidTr="00E44364">
        <w:tc>
          <w:tcPr>
            <w:tcW w:w="110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Preescolar</w:t>
            </w:r>
          </w:p>
        </w:tc>
        <w:tc>
          <w:tcPr>
            <w:tcW w:w="556"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b/>
                <w:bCs/>
                <w:sz w:val="18"/>
                <w:szCs w:val="16"/>
              </w:rPr>
              <w:t>42 740</w:t>
            </w:r>
          </w:p>
        </w:tc>
        <w:tc>
          <w:tcPr>
            <w:tcW w:w="714"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21 902</w:t>
            </w:r>
          </w:p>
        </w:tc>
        <w:tc>
          <w:tcPr>
            <w:tcW w:w="555"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20 838</w:t>
            </w:r>
          </w:p>
        </w:tc>
        <w:tc>
          <w:tcPr>
            <w:tcW w:w="714"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b/>
                <w:bCs/>
                <w:sz w:val="18"/>
                <w:szCs w:val="16"/>
              </w:rPr>
              <w:t>2 665</w:t>
            </w:r>
          </w:p>
        </w:tc>
        <w:tc>
          <w:tcPr>
            <w:tcW w:w="555"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224</w:t>
            </w:r>
          </w:p>
        </w:tc>
        <w:tc>
          <w:tcPr>
            <w:tcW w:w="796"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2 441</w:t>
            </w:r>
          </w:p>
        </w:tc>
      </w:tr>
      <w:tr w:rsidR="000B0C98" w:rsidRPr="0050035B" w:rsidTr="00E44364">
        <w:tc>
          <w:tcPr>
            <w:tcW w:w="110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Primaria</w:t>
            </w:r>
          </w:p>
        </w:tc>
        <w:tc>
          <w:tcPr>
            <w:tcW w:w="556"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b/>
                <w:bCs/>
                <w:sz w:val="18"/>
                <w:szCs w:val="16"/>
              </w:rPr>
              <w:t>113 947</w:t>
            </w:r>
          </w:p>
        </w:tc>
        <w:tc>
          <w:tcPr>
            <w:tcW w:w="714"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58 223</w:t>
            </w:r>
          </w:p>
        </w:tc>
        <w:tc>
          <w:tcPr>
            <w:tcW w:w="555"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55 724</w:t>
            </w:r>
          </w:p>
        </w:tc>
        <w:tc>
          <w:tcPr>
            <w:tcW w:w="714"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b/>
                <w:bCs/>
                <w:sz w:val="18"/>
                <w:szCs w:val="16"/>
              </w:rPr>
              <w:t>5 954</w:t>
            </w:r>
          </w:p>
        </w:tc>
        <w:tc>
          <w:tcPr>
            <w:tcW w:w="555"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1 574</w:t>
            </w:r>
          </w:p>
        </w:tc>
        <w:tc>
          <w:tcPr>
            <w:tcW w:w="796"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4 380</w:t>
            </w:r>
          </w:p>
        </w:tc>
      </w:tr>
      <w:tr w:rsidR="000B0C98" w:rsidRPr="0050035B" w:rsidTr="00E44364">
        <w:tc>
          <w:tcPr>
            <w:tcW w:w="110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Secundaria</w:t>
            </w:r>
          </w:p>
        </w:tc>
        <w:tc>
          <w:tcPr>
            <w:tcW w:w="556"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b/>
                <w:bCs/>
                <w:sz w:val="18"/>
                <w:szCs w:val="16"/>
              </w:rPr>
              <w:t>63 450</w:t>
            </w:r>
          </w:p>
        </w:tc>
        <w:tc>
          <w:tcPr>
            <w:tcW w:w="714"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32 054</w:t>
            </w:r>
          </w:p>
        </w:tc>
        <w:tc>
          <w:tcPr>
            <w:tcW w:w="555"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31 396</w:t>
            </w:r>
          </w:p>
        </w:tc>
        <w:tc>
          <w:tcPr>
            <w:tcW w:w="714"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b/>
                <w:bCs/>
                <w:sz w:val="18"/>
                <w:szCs w:val="16"/>
              </w:rPr>
              <w:t>3 922</w:t>
            </w:r>
          </w:p>
        </w:tc>
        <w:tc>
          <w:tcPr>
            <w:tcW w:w="555"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649</w:t>
            </w:r>
          </w:p>
        </w:tc>
        <w:tc>
          <w:tcPr>
            <w:tcW w:w="796"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2 273</w:t>
            </w:r>
          </w:p>
        </w:tc>
      </w:tr>
      <w:tr w:rsidR="000B0C98" w:rsidRPr="0050035B" w:rsidTr="00E44364">
        <w:tc>
          <w:tcPr>
            <w:tcW w:w="110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Bachillerato general</w:t>
            </w:r>
          </w:p>
        </w:tc>
        <w:tc>
          <w:tcPr>
            <w:tcW w:w="556"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b/>
                <w:bCs/>
                <w:sz w:val="18"/>
                <w:szCs w:val="16"/>
              </w:rPr>
              <w:t>41 044</w:t>
            </w:r>
          </w:p>
        </w:tc>
        <w:tc>
          <w:tcPr>
            <w:tcW w:w="714"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20 557</w:t>
            </w:r>
          </w:p>
        </w:tc>
        <w:tc>
          <w:tcPr>
            <w:tcW w:w="555"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20 487</w:t>
            </w:r>
          </w:p>
        </w:tc>
        <w:tc>
          <w:tcPr>
            <w:tcW w:w="714"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b/>
                <w:bCs/>
                <w:sz w:val="18"/>
                <w:szCs w:val="16"/>
              </w:rPr>
              <w:t>2 871</w:t>
            </w:r>
          </w:p>
        </w:tc>
        <w:tc>
          <w:tcPr>
            <w:tcW w:w="555"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1 270</w:t>
            </w:r>
          </w:p>
        </w:tc>
        <w:tc>
          <w:tcPr>
            <w:tcW w:w="796"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1 601</w:t>
            </w:r>
          </w:p>
        </w:tc>
      </w:tr>
      <w:tr w:rsidR="000B0C98" w:rsidRPr="0050035B" w:rsidTr="00E44364">
        <w:tc>
          <w:tcPr>
            <w:tcW w:w="110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011E1A" w:rsidRPr="0050035B" w:rsidRDefault="00011E1A">
            <w:pPr>
              <w:jc w:val="center"/>
              <w:rPr>
                <w:rFonts w:ascii="Century Gothic" w:eastAsiaTheme="minorEastAsia" w:hAnsi="Century Gothic"/>
                <w:sz w:val="18"/>
                <w:szCs w:val="16"/>
              </w:rPr>
            </w:pPr>
            <w:r w:rsidRPr="0050035B">
              <w:rPr>
                <w:rFonts w:ascii="Century Gothic" w:eastAsiaTheme="minorEastAsia" w:hAnsi="Century Gothic"/>
                <w:sz w:val="18"/>
                <w:szCs w:val="16"/>
              </w:rPr>
              <w:t>Bachillerato tecnológico y niveles equivalentes</w:t>
            </w:r>
          </w:p>
        </w:tc>
        <w:tc>
          <w:tcPr>
            <w:tcW w:w="556"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eastAsiaTheme="minorEastAsia" w:hAnsi="Century Gothic"/>
                <w:b/>
                <w:bCs/>
                <w:sz w:val="18"/>
                <w:szCs w:val="16"/>
              </w:rPr>
            </w:pPr>
            <w:r w:rsidRPr="0050035B">
              <w:rPr>
                <w:rFonts w:ascii="Century Gothic" w:eastAsiaTheme="minorEastAsia" w:hAnsi="Century Gothic"/>
                <w:b/>
                <w:bCs/>
                <w:sz w:val="18"/>
                <w:szCs w:val="16"/>
              </w:rPr>
              <w:t>36 631</w:t>
            </w:r>
          </w:p>
        </w:tc>
        <w:tc>
          <w:tcPr>
            <w:tcW w:w="714"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eastAsiaTheme="minorEastAsia" w:hAnsi="Century Gothic"/>
                <w:sz w:val="18"/>
                <w:szCs w:val="16"/>
              </w:rPr>
            </w:pPr>
            <w:r w:rsidRPr="0050035B">
              <w:rPr>
                <w:rFonts w:ascii="Century Gothic" w:eastAsiaTheme="minorEastAsia" w:hAnsi="Century Gothic"/>
                <w:sz w:val="18"/>
                <w:szCs w:val="16"/>
              </w:rPr>
              <w:t>18 892</w:t>
            </w:r>
          </w:p>
        </w:tc>
        <w:tc>
          <w:tcPr>
            <w:tcW w:w="555"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eastAsia="Arial" w:hAnsi="Century Gothic"/>
                <w:color w:val="000000"/>
                <w:sz w:val="18"/>
              </w:rPr>
            </w:pPr>
            <w:r w:rsidRPr="0050035B">
              <w:rPr>
                <w:rFonts w:ascii="Century Gothic" w:eastAsiaTheme="minorEastAsia" w:hAnsi="Century Gothic"/>
                <w:sz w:val="18"/>
                <w:szCs w:val="16"/>
              </w:rPr>
              <w:t>17 739</w:t>
            </w:r>
          </w:p>
        </w:tc>
        <w:tc>
          <w:tcPr>
            <w:tcW w:w="714"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b/>
                <w:bCs/>
                <w:sz w:val="18"/>
                <w:szCs w:val="16"/>
              </w:rPr>
              <w:t>3 839</w:t>
            </w:r>
          </w:p>
        </w:tc>
        <w:tc>
          <w:tcPr>
            <w:tcW w:w="555"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1 938</w:t>
            </w:r>
          </w:p>
        </w:tc>
        <w:tc>
          <w:tcPr>
            <w:tcW w:w="796" w:type="pct"/>
            <w:tcBorders>
              <w:top w:val="single" w:sz="4" w:space="0" w:color="auto"/>
              <w:left w:val="single" w:sz="4" w:space="0" w:color="auto"/>
              <w:bottom w:val="single" w:sz="4" w:space="0" w:color="auto"/>
              <w:right w:val="single" w:sz="4" w:space="0" w:color="auto"/>
            </w:tcBorders>
            <w:vAlign w:val="center"/>
            <w:hideMark/>
          </w:tcPr>
          <w:p w:rsidR="00011E1A" w:rsidRPr="0050035B" w:rsidRDefault="00011E1A">
            <w:pPr>
              <w:jc w:val="center"/>
              <w:rPr>
                <w:rFonts w:ascii="Century Gothic" w:hAnsi="Century Gothic"/>
                <w:sz w:val="18"/>
              </w:rPr>
            </w:pPr>
            <w:r w:rsidRPr="0050035B">
              <w:rPr>
                <w:rFonts w:ascii="Century Gothic" w:eastAsiaTheme="minorEastAsia" w:hAnsi="Century Gothic"/>
                <w:sz w:val="18"/>
                <w:szCs w:val="16"/>
              </w:rPr>
              <w:t>1 901</w:t>
            </w:r>
          </w:p>
        </w:tc>
      </w:tr>
    </w:tbl>
    <w:p w:rsidR="00DE654C" w:rsidRPr="0050035B" w:rsidRDefault="000D4776" w:rsidP="000B0C98">
      <w:pPr>
        <w:jc w:val="center"/>
        <w:rPr>
          <w:rFonts w:ascii="Century Gothic" w:hAnsi="Century Gothic"/>
          <w:sz w:val="20"/>
          <w:lang w:val="es-MX"/>
        </w:rPr>
      </w:pPr>
      <w:r w:rsidRPr="0050035B">
        <w:rPr>
          <w:rFonts w:ascii="Century Gothic" w:hAnsi="Century Gothic"/>
          <w:b/>
          <w:bCs/>
          <w:sz w:val="20"/>
          <w:lang w:val="es-MX"/>
        </w:rPr>
        <w:t>Fuente</w:t>
      </w:r>
      <w:r w:rsidRPr="0050035B">
        <w:rPr>
          <w:rFonts w:ascii="Century Gothic" w:hAnsi="Century Gothic"/>
          <w:sz w:val="20"/>
          <w:lang w:val="es-MX"/>
        </w:rPr>
        <w:t xml:space="preserve">: </w:t>
      </w:r>
      <w:r w:rsidR="00AF590B" w:rsidRPr="0050035B">
        <w:rPr>
          <w:rFonts w:ascii="Century Gothic" w:hAnsi="Century Gothic"/>
          <w:sz w:val="20"/>
          <w:lang w:val="es-MX"/>
        </w:rPr>
        <w:t>INEGI (2017). Anuario estadístico y geográfico de Nuevo León 2017.</w:t>
      </w:r>
    </w:p>
    <w:p w:rsidR="00C84F19" w:rsidRPr="0050035B" w:rsidRDefault="00C84F19" w:rsidP="00D00F3C">
      <w:pPr>
        <w:spacing w:line="360" w:lineRule="auto"/>
        <w:jc w:val="both"/>
        <w:rPr>
          <w:rFonts w:ascii="Century Gothic" w:hAnsi="Century Gothic"/>
          <w:lang w:val="es-MX"/>
        </w:rPr>
      </w:pPr>
    </w:p>
    <w:p w:rsidR="00AF590B" w:rsidRPr="0050035B" w:rsidRDefault="00AF590B" w:rsidP="00AF590B">
      <w:pPr>
        <w:spacing w:line="360" w:lineRule="auto"/>
        <w:ind w:firstLine="720"/>
        <w:jc w:val="both"/>
        <w:rPr>
          <w:rFonts w:ascii="Century Gothic" w:hAnsi="Century Gothic"/>
          <w:lang w:val="es-MX"/>
        </w:rPr>
      </w:pPr>
      <w:r w:rsidRPr="0050035B">
        <w:rPr>
          <w:rFonts w:ascii="Century Gothic" w:hAnsi="Century Gothic"/>
          <w:lang w:val="es-MX"/>
        </w:rPr>
        <w:t xml:space="preserve">La Zona Metropolitana de Monterrey cuenta con diversos centros educativos universitarios de alto nivel entre los que destacan el Instituto Tecnológico y de Estudios Superiores de Monterrey (ITESM), la Universidad Autónoma de Nuevo León (UANL), la </w:t>
      </w:r>
      <w:r w:rsidR="00C70E2C" w:rsidRPr="0050035B">
        <w:rPr>
          <w:rFonts w:ascii="Century Gothic" w:hAnsi="Century Gothic"/>
          <w:lang w:val="es-MX"/>
        </w:rPr>
        <w:t>Universidad de Monterrey (UDEM) y</w:t>
      </w:r>
      <w:r w:rsidRPr="0050035B">
        <w:rPr>
          <w:rFonts w:ascii="Century Gothic" w:hAnsi="Century Gothic"/>
          <w:lang w:val="es-MX"/>
        </w:rPr>
        <w:t xml:space="preserve"> la Universid</w:t>
      </w:r>
      <w:r w:rsidR="00C70E2C" w:rsidRPr="0050035B">
        <w:rPr>
          <w:rFonts w:ascii="Century Gothic" w:hAnsi="Century Gothic"/>
          <w:lang w:val="es-MX"/>
        </w:rPr>
        <w:t>ad Regiomontana (U</w:t>
      </w:r>
      <w:r w:rsidR="00C86CA4" w:rsidRPr="0050035B">
        <w:rPr>
          <w:rFonts w:ascii="Century Gothic" w:hAnsi="Century Gothic"/>
          <w:lang w:val="es-MX"/>
        </w:rPr>
        <w:t>-</w:t>
      </w:r>
      <w:r w:rsidR="00603218" w:rsidRPr="0050035B">
        <w:rPr>
          <w:rFonts w:ascii="Century Gothic" w:hAnsi="Century Gothic"/>
          <w:lang w:val="es-MX"/>
        </w:rPr>
        <w:t>E</w:t>
      </w:r>
      <w:r w:rsidR="00C70E2C" w:rsidRPr="0050035B">
        <w:rPr>
          <w:rFonts w:ascii="Century Gothic" w:hAnsi="Century Gothic"/>
          <w:lang w:val="es-MX"/>
        </w:rPr>
        <w:t>R</w:t>
      </w:r>
      <w:r w:rsidR="00603218" w:rsidRPr="0050035B">
        <w:rPr>
          <w:rFonts w:ascii="Century Gothic" w:hAnsi="Century Gothic"/>
          <w:lang w:val="es-MX"/>
        </w:rPr>
        <w:t>RE</w:t>
      </w:r>
      <w:r w:rsidR="00C70E2C" w:rsidRPr="0050035B">
        <w:rPr>
          <w:rFonts w:ascii="Century Gothic" w:hAnsi="Century Gothic"/>
          <w:lang w:val="es-MX"/>
        </w:rPr>
        <w:t>), por mencionar algunas</w:t>
      </w:r>
      <w:r w:rsidRPr="0050035B">
        <w:rPr>
          <w:rFonts w:ascii="Century Gothic" w:hAnsi="Century Gothic"/>
          <w:lang w:val="es-MX"/>
        </w:rPr>
        <w:t xml:space="preserve">. </w:t>
      </w:r>
    </w:p>
    <w:p w:rsidR="00AF590B" w:rsidRPr="0050035B" w:rsidRDefault="00AF590B" w:rsidP="00AF590B">
      <w:pPr>
        <w:spacing w:line="360" w:lineRule="auto"/>
        <w:ind w:firstLine="720"/>
        <w:jc w:val="both"/>
        <w:rPr>
          <w:rFonts w:ascii="Century Gothic" w:hAnsi="Century Gothic"/>
          <w:lang w:val="es-MX"/>
        </w:rPr>
      </w:pPr>
    </w:p>
    <w:p w:rsidR="008D7D5A" w:rsidRDefault="00A35253" w:rsidP="00AF590B">
      <w:pPr>
        <w:spacing w:line="360" w:lineRule="auto"/>
        <w:ind w:firstLine="720"/>
        <w:jc w:val="both"/>
        <w:rPr>
          <w:rFonts w:ascii="Century Gothic" w:hAnsi="Century Gothic"/>
          <w:lang w:val="es-MX"/>
        </w:rPr>
      </w:pPr>
      <w:r w:rsidRPr="00A35253">
        <w:rPr>
          <w:rFonts w:ascii="Century Gothic" w:hAnsi="Century Gothic"/>
          <w:lang w:val="es-MX"/>
        </w:rPr>
        <w:t>Una de las fortalezas que brinda la Capital regiomontana, pese a las múltiples dificultades que su creciente población representa</w:t>
      </w:r>
      <w:r>
        <w:rPr>
          <w:rFonts w:ascii="Century Gothic" w:hAnsi="Century Gothic"/>
          <w:lang w:val="es-MX"/>
        </w:rPr>
        <w:t xml:space="preserve"> y sobre las cuáles el municipio trabará en esta administración en el ámbito de sus atribuciones</w:t>
      </w:r>
      <w:r w:rsidRPr="00A35253">
        <w:rPr>
          <w:rFonts w:ascii="Century Gothic" w:hAnsi="Century Gothic"/>
          <w:lang w:val="es-MX"/>
        </w:rPr>
        <w:t>, es su diversidad en medios de transporte y movilidad. Actualmente, además de disponer de tres líneas de metro activas; se cuenta con otros medios de transporte como son el MetroBus, el Transmetro, el Sistema Ecovía y el transporte público urbano a través del cual se comunica al menos el 97% de la ciudad.</w:t>
      </w:r>
      <w:r>
        <w:rPr>
          <w:rFonts w:ascii="Century Gothic" w:hAnsi="Century Gothic"/>
          <w:lang w:val="es-MX"/>
        </w:rPr>
        <w:t xml:space="preserve"> Se buscar en esta administración fortalecer la movilidad urbana con todo tipo de medios de transporte a la par de ser respetuosos con el medio ambiente. </w:t>
      </w:r>
    </w:p>
    <w:p w:rsidR="00A35253" w:rsidRPr="0050035B" w:rsidRDefault="00A35253" w:rsidP="00AF590B">
      <w:pPr>
        <w:spacing w:line="360" w:lineRule="auto"/>
        <w:ind w:firstLine="720"/>
        <w:jc w:val="both"/>
        <w:rPr>
          <w:rFonts w:ascii="Century Gothic" w:hAnsi="Century Gothic"/>
          <w:lang w:val="es-MX"/>
        </w:rPr>
      </w:pPr>
    </w:p>
    <w:p w:rsidR="00E13585" w:rsidRPr="0050035B" w:rsidRDefault="00A35253" w:rsidP="00AF590B">
      <w:pPr>
        <w:spacing w:line="360" w:lineRule="auto"/>
        <w:ind w:firstLine="720"/>
        <w:jc w:val="both"/>
        <w:rPr>
          <w:rFonts w:ascii="Century Gothic" w:hAnsi="Century Gothic"/>
          <w:lang w:val="es-MX"/>
        </w:rPr>
      </w:pPr>
      <w:r w:rsidRPr="00A35253">
        <w:rPr>
          <w:rFonts w:ascii="Century Gothic" w:hAnsi="Century Gothic"/>
          <w:lang w:val="es-MX"/>
        </w:rPr>
        <w:lastRenderedPageBreak/>
        <w:t>Según datos del Censo Económico 2019, los sectores económicos que concentraron más unidades económicas en Monterrey fueron Comercio al por Menor (17,032 unidades), Otros Servicios Excepto Actividades Gubernamentales (8,484 unidades) y Servicios de Alojamiento Temporal y de Preparación de Alimentos y Bebidas (6,330 unidades</w:t>
      </w:r>
      <w:r w:rsidR="00E13585" w:rsidRPr="0050035B">
        <w:rPr>
          <w:rFonts w:ascii="Century Gothic" w:hAnsi="Century Gothic"/>
          <w:lang w:val="es-MX"/>
        </w:rPr>
        <w:t>)</w:t>
      </w:r>
      <w:r w:rsidR="00E13585" w:rsidRPr="0050035B">
        <w:rPr>
          <w:rStyle w:val="Refdenotaalpie"/>
          <w:rFonts w:ascii="Century Gothic" w:hAnsi="Century Gothic"/>
          <w:lang w:val="es-MX"/>
        </w:rPr>
        <w:footnoteReference w:id="19"/>
      </w:r>
      <w:r w:rsidR="00E13585" w:rsidRPr="0050035B">
        <w:rPr>
          <w:rFonts w:ascii="Century Gothic" w:hAnsi="Century Gothic"/>
          <w:lang w:val="es-MX"/>
        </w:rPr>
        <w:t>.</w:t>
      </w:r>
    </w:p>
    <w:p w:rsidR="00E13585" w:rsidRPr="0050035B" w:rsidRDefault="00E13585" w:rsidP="00AF590B">
      <w:pPr>
        <w:spacing w:line="360" w:lineRule="auto"/>
        <w:ind w:firstLine="720"/>
        <w:jc w:val="both"/>
        <w:rPr>
          <w:rFonts w:ascii="Century Gothic" w:hAnsi="Century Gothic"/>
          <w:lang w:val="es-MX"/>
        </w:rPr>
      </w:pPr>
    </w:p>
    <w:p w:rsidR="00A433BE" w:rsidRPr="0050035B" w:rsidRDefault="0003645C" w:rsidP="00AF590B">
      <w:pPr>
        <w:spacing w:line="360" w:lineRule="auto"/>
        <w:ind w:firstLine="720"/>
        <w:jc w:val="both"/>
        <w:rPr>
          <w:rFonts w:ascii="Century Gothic" w:hAnsi="Century Gothic"/>
          <w:lang w:val="es-MX"/>
        </w:rPr>
      </w:pPr>
      <w:r>
        <w:rPr>
          <w:rFonts w:ascii="Century Gothic" w:hAnsi="Century Gothic"/>
          <w:lang w:val="es-MX"/>
        </w:rPr>
        <w:t xml:space="preserve">Otro de los factores que refleja la fortaleza económica y </w:t>
      </w:r>
      <w:r w:rsidR="009C595D">
        <w:rPr>
          <w:rFonts w:ascii="Century Gothic" w:hAnsi="Century Gothic"/>
          <w:lang w:val="es-MX"/>
        </w:rPr>
        <w:t>la</w:t>
      </w:r>
      <w:r>
        <w:rPr>
          <w:rFonts w:ascii="Century Gothic" w:hAnsi="Century Gothic"/>
          <w:lang w:val="es-MX"/>
        </w:rPr>
        <w:t xml:space="preserve"> calidad de vida de Monterrey, es el indicador que mide la marginación; el</w:t>
      </w:r>
      <w:r w:rsidR="00A433BE" w:rsidRPr="0050035B">
        <w:rPr>
          <w:rFonts w:ascii="Century Gothic" w:hAnsi="Century Gothic"/>
          <w:lang w:val="es-MX"/>
        </w:rPr>
        <w:t xml:space="preserve"> índice de marginación</w:t>
      </w:r>
      <w:r w:rsidR="00A433BE" w:rsidRPr="0050035B">
        <w:rPr>
          <w:rStyle w:val="Refdenotaalpie"/>
          <w:rFonts w:ascii="Century Gothic" w:hAnsi="Century Gothic"/>
          <w:lang w:val="es-MX"/>
        </w:rPr>
        <w:footnoteReference w:id="20"/>
      </w:r>
      <w:r>
        <w:rPr>
          <w:rFonts w:ascii="Century Gothic" w:hAnsi="Century Gothic"/>
          <w:lang w:val="es-MX"/>
        </w:rPr>
        <w:t>para el año 2015 fue de -1.</w:t>
      </w:r>
      <w:r w:rsidR="009C595D">
        <w:rPr>
          <w:rFonts w:ascii="Century Gothic" w:hAnsi="Century Gothic"/>
          <w:lang w:val="es-MX"/>
        </w:rPr>
        <w:t>901, siendo é</w:t>
      </w:r>
      <w:r w:rsidR="00A433BE" w:rsidRPr="0050035B">
        <w:rPr>
          <w:rFonts w:ascii="Century Gothic" w:hAnsi="Century Gothic"/>
          <w:lang w:val="es-MX"/>
        </w:rPr>
        <w:t xml:space="preserve">ste un grado de marginación muy </w:t>
      </w:r>
      <w:r w:rsidR="009C595D">
        <w:rPr>
          <w:rFonts w:ascii="Century Gothic" w:hAnsi="Century Gothic"/>
          <w:lang w:val="es-MX"/>
        </w:rPr>
        <w:t>bajo. A nivel</w:t>
      </w:r>
      <w:r w:rsidR="00A433BE" w:rsidRPr="0050035B">
        <w:rPr>
          <w:rFonts w:ascii="Century Gothic" w:hAnsi="Century Gothic"/>
          <w:lang w:val="es-MX"/>
        </w:rPr>
        <w:t xml:space="preserve"> nacional el </w:t>
      </w:r>
      <w:r w:rsidR="00786E93">
        <w:rPr>
          <w:rFonts w:ascii="Century Gothic" w:hAnsi="Century Gothic"/>
          <w:lang w:val="es-MX"/>
        </w:rPr>
        <w:t xml:space="preserve">Municipio </w:t>
      </w:r>
      <w:r w:rsidR="00A433BE" w:rsidRPr="0050035B">
        <w:rPr>
          <w:rFonts w:ascii="Century Gothic" w:hAnsi="Century Gothic"/>
          <w:lang w:val="es-MX"/>
        </w:rPr>
        <w:t>de Monterrey se encuentra en la posición 2,448 de 2</w:t>
      </w:r>
      <w:r w:rsidR="00A35253">
        <w:rPr>
          <w:rFonts w:ascii="Century Gothic" w:hAnsi="Century Gothic"/>
          <w:lang w:val="es-MX"/>
        </w:rPr>
        <w:t>,</w:t>
      </w:r>
      <w:r w:rsidR="009C595D">
        <w:rPr>
          <w:rFonts w:ascii="Century Gothic" w:hAnsi="Century Gothic"/>
          <w:lang w:val="es-MX"/>
        </w:rPr>
        <w:t xml:space="preserve">457 municipios con más baja marginación; en </w:t>
      </w:r>
      <w:r w:rsidR="00A433BE" w:rsidRPr="0050035B">
        <w:rPr>
          <w:rFonts w:ascii="Century Gothic" w:hAnsi="Century Gothic"/>
          <w:lang w:val="es-MX"/>
        </w:rPr>
        <w:t>el conte</w:t>
      </w:r>
      <w:r w:rsidR="00E13585" w:rsidRPr="0050035B">
        <w:rPr>
          <w:rFonts w:ascii="Century Gothic" w:hAnsi="Century Gothic"/>
          <w:lang w:val="es-MX"/>
        </w:rPr>
        <w:t>xto</w:t>
      </w:r>
      <w:r w:rsidR="00A433BE" w:rsidRPr="0050035B">
        <w:rPr>
          <w:rFonts w:ascii="Century Gothic" w:hAnsi="Century Gothic"/>
          <w:lang w:val="es-MX"/>
        </w:rPr>
        <w:t xml:space="preserve"> estatal se encuentra en el lugar 48 de </w:t>
      </w:r>
      <w:r w:rsidR="009C595D">
        <w:rPr>
          <w:rFonts w:ascii="Century Gothic" w:hAnsi="Century Gothic"/>
          <w:lang w:val="es-MX"/>
        </w:rPr>
        <w:t xml:space="preserve">los </w:t>
      </w:r>
      <w:r w:rsidR="00A433BE" w:rsidRPr="0050035B">
        <w:rPr>
          <w:rFonts w:ascii="Century Gothic" w:hAnsi="Century Gothic"/>
          <w:lang w:val="es-MX"/>
        </w:rPr>
        <w:t>51</w:t>
      </w:r>
      <w:r w:rsidR="009C595D">
        <w:rPr>
          <w:rFonts w:ascii="Century Gothic" w:hAnsi="Century Gothic"/>
          <w:lang w:val="es-MX"/>
        </w:rPr>
        <w:t xml:space="preserve"> municipios del Estado</w:t>
      </w:r>
      <w:r w:rsidR="00A433BE" w:rsidRPr="0050035B">
        <w:rPr>
          <w:rFonts w:ascii="Century Gothic" w:hAnsi="Century Gothic"/>
          <w:lang w:val="es-MX"/>
        </w:rPr>
        <w:t>.</w:t>
      </w:r>
    </w:p>
    <w:p w:rsidR="00504976" w:rsidRPr="0050035B" w:rsidRDefault="00504976" w:rsidP="00AF590B">
      <w:pPr>
        <w:spacing w:line="360" w:lineRule="auto"/>
        <w:ind w:firstLine="720"/>
        <w:jc w:val="both"/>
        <w:rPr>
          <w:rFonts w:ascii="Century Gothic" w:hAnsi="Century Gothic"/>
          <w:lang w:val="es-MX"/>
        </w:rPr>
      </w:pPr>
    </w:p>
    <w:p w:rsidR="00AF590B" w:rsidRPr="0050035B" w:rsidRDefault="00504976" w:rsidP="00504976">
      <w:pPr>
        <w:spacing w:line="360" w:lineRule="auto"/>
        <w:ind w:firstLine="720"/>
        <w:jc w:val="both"/>
        <w:rPr>
          <w:rFonts w:ascii="Century Gothic" w:hAnsi="Century Gothic"/>
          <w:lang w:val="es-MX"/>
        </w:rPr>
      </w:pPr>
      <w:r w:rsidRPr="0050035B">
        <w:rPr>
          <w:rFonts w:ascii="Century Gothic" w:hAnsi="Century Gothic"/>
          <w:lang w:val="es-MX"/>
        </w:rPr>
        <w:t>En Monterrey, las opciones de atención de salud más utilizadas en 2020 f</w:t>
      </w:r>
      <w:r w:rsidR="00786E93">
        <w:rPr>
          <w:rFonts w:ascii="Century Gothic" w:hAnsi="Century Gothic"/>
          <w:lang w:val="es-MX"/>
        </w:rPr>
        <w:t>ueron IMSS (Seguro social) (550,</w:t>
      </w:r>
      <w:r w:rsidRPr="0050035B">
        <w:rPr>
          <w:rFonts w:ascii="Century Gothic" w:hAnsi="Century Gothic"/>
          <w:lang w:val="es-MX"/>
        </w:rPr>
        <w:t>000</w:t>
      </w:r>
      <w:r w:rsidR="006A3AA3">
        <w:rPr>
          <w:rFonts w:ascii="Century Gothic" w:hAnsi="Century Gothic"/>
          <w:lang w:val="es-MX"/>
        </w:rPr>
        <w:t xml:space="preserve"> </w:t>
      </w:r>
      <w:r w:rsidR="007B1C9C">
        <w:rPr>
          <w:rFonts w:ascii="Century Gothic" w:hAnsi="Century Gothic"/>
          <w:lang w:val="es-MX"/>
        </w:rPr>
        <w:t>personas atendidas</w:t>
      </w:r>
      <w:r w:rsidR="00786E93">
        <w:rPr>
          <w:rFonts w:ascii="Century Gothic" w:hAnsi="Century Gothic"/>
          <w:lang w:val="es-MX"/>
        </w:rPr>
        <w:t>), Consultorio de farmacia (247,000</w:t>
      </w:r>
      <w:r w:rsidR="006A3AA3">
        <w:rPr>
          <w:rFonts w:ascii="Century Gothic" w:hAnsi="Century Gothic"/>
          <w:lang w:val="es-MX"/>
        </w:rPr>
        <w:t xml:space="preserve"> </w:t>
      </w:r>
      <w:r w:rsidR="007B1C9C">
        <w:rPr>
          <w:rFonts w:ascii="Century Gothic" w:hAnsi="Century Gothic"/>
          <w:lang w:val="es-MX"/>
        </w:rPr>
        <w:t>personas atendidas</w:t>
      </w:r>
      <w:r w:rsidR="00786E93">
        <w:rPr>
          <w:rFonts w:ascii="Century Gothic" w:hAnsi="Century Gothic"/>
          <w:lang w:val="es-MX"/>
        </w:rPr>
        <w:t>) y Otro lugar (110,</w:t>
      </w:r>
      <w:r w:rsidRPr="0050035B">
        <w:rPr>
          <w:rFonts w:ascii="Century Gothic" w:hAnsi="Century Gothic"/>
          <w:lang w:val="es-MX"/>
        </w:rPr>
        <w:t>000</w:t>
      </w:r>
      <w:r w:rsidR="006A3AA3">
        <w:rPr>
          <w:rFonts w:ascii="Century Gothic" w:hAnsi="Century Gothic"/>
          <w:lang w:val="es-MX"/>
        </w:rPr>
        <w:t xml:space="preserve"> </w:t>
      </w:r>
      <w:r w:rsidR="007B1C9C">
        <w:rPr>
          <w:rFonts w:ascii="Century Gothic" w:hAnsi="Century Gothic"/>
          <w:lang w:val="es-MX"/>
        </w:rPr>
        <w:t>personas atendidas</w:t>
      </w:r>
      <w:r w:rsidRPr="0050035B">
        <w:rPr>
          <w:rFonts w:ascii="Century Gothic" w:hAnsi="Century Gothic"/>
          <w:lang w:val="es-MX"/>
        </w:rPr>
        <w:t>). En el mismo año, los seguros sociales que agruparon mayor número de personas fueron Seguro Popular o para una Nueva Generación (Siglo XXI) (</w:t>
      </w:r>
      <w:r w:rsidR="00786E93">
        <w:rPr>
          <w:rFonts w:ascii="Century Gothic" w:hAnsi="Century Gothic"/>
          <w:lang w:val="es-MX"/>
        </w:rPr>
        <w:t>668,000) y No Especificado (185,</w:t>
      </w:r>
      <w:r w:rsidRPr="0050035B">
        <w:rPr>
          <w:rFonts w:ascii="Century Gothic" w:hAnsi="Century Gothic"/>
          <w:lang w:val="es-MX"/>
        </w:rPr>
        <w:t>000)</w:t>
      </w:r>
      <w:r w:rsidRPr="0050035B">
        <w:rPr>
          <w:rStyle w:val="Refdenotaalpie"/>
          <w:rFonts w:ascii="Century Gothic" w:hAnsi="Century Gothic"/>
          <w:lang w:val="es-MX"/>
        </w:rPr>
        <w:footnoteReference w:id="21"/>
      </w:r>
      <w:r w:rsidRPr="0050035B">
        <w:rPr>
          <w:rFonts w:ascii="Century Gothic" w:hAnsi="Century Gothic"/>
          <w:lang w:val="es-MX"/>
        </w:rPr>
        <w:t>.</w:t>
      </w:r>
    </w:p>
    <w:p w:rsidR="00504976" w:rsidRDefault="00AF590B" w:rsidP="007A3904">
      <w:pPr>
        <w:spacing w:line="360" w:lineRule="auto"/>
        <w:ind w:firstLine="720"/>
        <w:jc w:val="both"/>
        <w:rPr>
          <w:rFonts w:ascii="Century Gothic" w:hAnsi="Century Gothic"/>
          <w:lang w:val="es-MX"/>
        </w:rPr>
      </w:pPr>
      <w:r w:rsidRPr="0050035B">
        <w:rPr>
          <w:rFonts w:ascii="Century Gothic" w:hAnsi="Century Gothic"/>
          <w:lang w:val="es-MX"/>
        </w:rPr>
        <w:lastRenderedPageBreak/>
        <w:t xml:space="preserve">La </w:t>
      </w:r>
      <w:r w:rsidR="00DE6A67">
        <w:rPr>
          <w:rFonts w:ascii="Century Gothic" w:hAnsi="Century Gothic"/>
          <w:lang w:val="es-MX"/>
        </w:rPr>
        <w:t>ZMM</w:t>
      </w:r>
      <w:r w:rsidRPr="0050035B">
        <w:rPr>
          <w:rFonts w:ascii="Century Gothic" w:hAnsi="Century Gothic"/>
          <w:lang w:val="es-MX"/>
        </w:rPr>
        <w:t xml:space="preserve"> cuenta con el segundo parque vehicular más grande del país con </w:t>
      </w:r>
      <w:r w:rsidRPr="0040665F">
        <w:rPr>
          <w:rFonts w:ascii="Century Gothic" w:hAnsi="Century Gothic"/>
          <w:lang w:val="es-MX"/>
        </w:rPr>
        <w:t xml:space="preserve">más de </w:t>
      </w:r>
      <w:r w:rsidR="0040665F" w:rsidRPr="0040665F">
        <w:rPr>
          <w:rFonts w:ascii="Century Gothic" w:hAnsi="Century Gothic"/>
          <w:lang w:val="es-MX"/>
        </w:rPr>
        <w:t>2.25</w:t>
      </w:r>
      <w:r w:rsidRPr="0040665F">
        <w:rPr>
          <w:rFonts w:ascii="Century Gothic" w:hAnsi="Century Gothic"/>
          <w:lang w:val="es-MX"/>
        </w:rPr>
        <w:t xml:space="preserve"> millones de vehículos</w:t>
      </w:r>
      <w:r w:rsidR="008168E6">
        <w:rPr>
          <w:rStyle w:val="Refdenotaalpie"/>
          <w:rFonts w:ascii="Century Gothic" w:hAnsi="Century Gothic"/>
          <w:lang w:val="es-MX"/>
        </w:rPr>
        <w:footnoteReference w:id="22"/>
      </w:r>
      <w:r w:rsidRPr="0040665F">
        <w:rPr>
          <w:rFonts w:ascii="Century Gothic" w:hAnsi="Century Gothic"/>
          <w:lang w:val="es-MX"/>
        </w:rPr>
        <w:t>, solo por detrás de la Ciudad de México (CDMX), lo cual denota</w:t>
      </w:r>
      <w:r w:rsidRPr="0050035B">
        <w:rPr>
          <w:rFonts w:ascii="Century Gothic" w:hAnsi="Century Gothic"/>
          <w:lang w:val="es-MX"/>
        </w:rPr>
        <w:t xml:space="preserve"> la necesidad de contar con instrumentos y mecanismos que permitan fortalecer la seguridad en las vías y medios de comunicación y transporte. Así como contar con instrumentos y mecanismos de mantenimiento y desarrollo constante.</w:t>
      </w:r>
      <w:r w:rsidR="00A433BE" w:rsidRPr="0050035B">
        <w:rPr>
          <w:lang w:val="es-MX"/>
        </w:rPr>
        <w:t xml:space="preserve"> </w:t>
      </w:r>
      <w:r w:rsidR="00A433BE" w:rsidRPr="0050035B">
        <w:rPr>
          <w:rFonts w:ascii="Century Gothic" w:hAnsi="Century Gothic"/>
          <w:lang w:val="es-MX"/>
        </w:rPr>
        <w:t xml:space="preserve">Siendo </w:t>
      </w:r>
      <w:r w:rsidR="006A3AA3">
        <w:rPr>
          <w:rFonts w:ascii="Century Gothic" w:hAnsi="Century Gothic"/>
          <w:lang w:val="es-MX"/>
        </w:rPr>
        <w:t>é</w:t>
      </w:r>
      <w:r w:rsidR="00A433BE" w:rsidRPr="0050035B">
        <w:rPr>
          <w:rFonts w:ascii="Century Gothic" w:hAnsi="Century Gothic"/>
          <w:lang w:val="es-MX"/>
        </w:rPr>
        <w:t xml:space="preserve">ste porcentaje local mayor a lo estatal 3.93 % y nacional 3.57 % lo cual sitúa a Monterrey como una ciudad con alta movilidad social </w:t>
      </w:r>
      <w:r w:rsidR="007A3904" w:rsidRPr="0050035B">
        <w:rPr>
          <w:rFonts w:ascii="Century Gothic" w:hAnsi="Century Gothic"/>
          <w:lang w:val="es-MX"/>
        </w:rPr>
        <w:t>en relación con el</w:t>
      </w:r>
      <w:r w:rsidR="00A433BE" w:rsidRPr="0050035B">
        <w:rPr>
          <w:rFonts w:ascii="Century Gothic" w:hAnsi="Century Gothic"/>
          <w:lang w:val="es-MX"/>
        </w:rPr>
        <w:t xml:space="preserve"> porcentaje nacional</w:t>
      </w:r>
      <w:r w:rsidR="00A433BE" w:rsidRPr="0050035B">
        <w:rPr>
          <w:rStyle w:val="Refdenotaalpie"/>
          <w:rFonts w:ascii="Century Gothic" w:hAnsi="Century Gothic"/>
          <w:lang w:val="es-MX"/>
        </w:rPr>
        <w:footnoteReference w:id="23"/>
      </w:r>
      <w:r w:rsidR="00A433BE" w:rsidRPr="0050035B">
        <w:rPr>
          <w:rFonts w:ascii="Century Gothic" w:hAnsi="Century Gothic"/>
          <w:lang w:val="es-MX"/>
        </w:rPr>
        <w:t xml:space="preserve">. </w:t>
      </w:r>
    </w:p>
    <w:p w:rsidR="00E574B6" w:rsidRDefault="00E574B6" w:rsidP="00504976">
      <w:pPr>
        <w:jc w:val="center"/>
        <w:rPr>
          <w:rFonts w:ascii="Century Gothic" w:hAnsi="Century Gothic"/>
          <w:b/>
          <w:sz w:val="22"/>
          <w:szCs w:val="22"/>
          <w:lang w:val="es-MX"/>
        </w:rPr>
      </w:pPr>
    </w:p>
    <w:p w:rsidR="00504976" w:rsidRPr="0050035B" w:rsidRDefault="00504976" w:rsidP="00504976">
      <w:pPr>
        <w:jc w:val="center"/>
        <w:rPr>
          <w:rFonts w:ascii="Century Gothic" w:hAnsi="Century Gothic"/>
          <w:lang w:val="es-MX"/>
        </w:rPr>
      </w:pPr>
      <w:r w:rsidRPr="007A3904">
        <w:rPr>
          <w:rFonts w:ascii="Century Gothic" w:hAnsi="Century Gothic"/>
          <w:b/>
          <w:sz w:val="22"/>
          <w:szCs w:val="22"/>
          <w:lang w:val="es-MX"/>
        </w:rPr>
        <w:t>Gráfica 2.</w:t>
      </w:r>
      <w:r w:rsidR="007A3904" w:rsidRPr="007A3904">
        <w:rPr>
          <w:rFonts w:ascii="Century Gothic" w:hAnsi="Century Gothic"/>
          <w:b/>
          <w:sz w:val="22"/>
          <w:szCs w:val="22"/>
          <w:lang w:val="es-MX"/>
        </w:rPr>
        <w:t>9</w:t>
      </w:r>
      <w:r w:rsidRPr="007A3904">
        <w:rPr>
          <w:rFonts w:ascii="Century Gothic" w:hAnsi="Century Gothic"/>
          <w:b/>
          <w:sz w:val="22"/>
          <w:szCs w:val="22"/>
          <w:lang w:val="es-MX"/>
        </w:rPr>
        <w:t>.</w:t>
      </w:r>
      <w:r w:rsidRPr="007A3904">
        <w:rPr>
          <w:rFonts w:ascii="Century Gothic" w:hAnsi="Century Gothic"/>
          <w:sz w:val="22"/>
          <w:szCs w:val="22"/>
          <w:lang w:val="es-MX"/>
        </w:rPr>
        <w:t xml:space="preserve"> </w:t>
      </w:r>
      <w:r w:rsidR="007A3904" w:rsidRPr="007A3904">
        <w:rPr>
          <w:rFonts w:ascii="Century Gothic" w:hAnsi="Century Gothic"/>
          <w:sz w:val="22"/>
          <w:szCs w:val="22"/>
          <w:lang w:val="es-MX"/>
        </w:rPr>
        <w:t>Tiempos</w:t>
      </w:r>
      <w:r w:rsidR="007A3904">
        <w:rPr>
          <w:rFonts w:ascii="Century Gothic" w:hAnsi="Century Gothic"/>
          <w:sz w:val="22"/>
          <w:szCs w:val="22"/>
          <w:lang w:val="es-MX"/>
        </w:rPr>
        <w:t xml:space="preserve"> de Traslado al Trabajo Según Medio de Transporte (2020).</w:t>
      </w:r>
    </w:p>
    <w:p w:rsidR="00504976" w:rsidRPr="0050035B" w:rsidRDefault="007A3904" w:rsidP="00504976">
      <w:pPr>
        <w:spacing w:line="360" w:lineRule="auto"/>
        <w:ind w:firstLine="720"/>
        <w:jc w:val="center"/>
        <w:rPr>
          <w:rFonts w:ascii="Century Gothic" w:hAnsi="Century Gothic"/>
          <w:lang w:val="es-MX"/>
        </w:rPr>
      </w:pPr>
      <w:r w:rsidRPr="0050035B">
        <w:rPr>
          <w:noProof/>
          <w:lang w:val="es-MX" w:eastAsia="es-MX"/>
        </w:rPr>
        <w:drawing>
          <wp:anchor distT="0" distB="0" distL="114300" distR="114300" simplePos="0" relativeHeight="251745280" behindDoc="1" locked="0" layoutInCell="1" allowOverlap="1" wp14:anchorId="6D9579CD" wp14:editId="3C1B6369">
            <wp:simplePos x="0" y="0"/>
            <wp:positionH relativeFrom="page">
              <wp:align>center</wp:align>
            </wp:positionH>
            <wp:positionV relativeFrom="paragraph">
              <wp:posOffset>198177</wp:posOffset>
            </wp:positionV>
            <wp:extent cx="5360315" cy="3801615"/>
            <wp:effectExtent l="0" t="0" r="0" b="889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60315" cy="3801615"/>
                    </a:xfrm>
                    <a:prstGeom prst="rect">
                      <a:avLst/>
                    </a:prstGeom>
                  </pic:spPr>
                </pic:pic>
              </a:graphicData>
            </a:graphic>
            <wp14:sizeRelH relativeFrom="margin">
              <wp14:pctWidth>0</wp14:pctWidth>
            </wp14:sizeRelH>
            <wp14:sizeRelV relativeFrom="margin">
              <wp14:pctHeight>0</wp14:pctHeight>
            </wp14:sizeRelV>
          </wp:anchor>
        </w:drawing>
      </w:r>
    </w:p>
    <w:p w:rsidR="00504976" w:rsidRPr="0050035B" w:rsidRDefault="00504976" w:rsidP="00AF590B">
      <w:pPr>
        <w:spacing w:line="360" w:lineRule="auto"/>
        <w:ind w:firstLine="720"/>
        <w:jc w:val="both"/>
        <w:rPr>
          <w:rFonts w:ascii="Century Gothic" w:hAnsi="Century Gothic"/>
          <w:lang w:val="es-MX"/>
        </w:rPr>
      </w:pPr>
    </w:p>
    <w:p w:rsidR="00504976" w:rsidRPr="0050035B" w:rsidRDefault="00504976" w:rsidP="00AF590B">
      <w:pPr>
        <w:spacing w:line="360" w:lineRule="auto"/>
        <w:ind w:firstLine="720"/>
        <w:jc w:val="both"/>
        <w:rPr>
          <w:rFonts w:ascii="Century Gothic" w:hAnsi="Century Gothic"/>
          <w:lang w:val="es-MX"/>
        </w:rPr>
      </w:pPr>
    </w:p>
    <w:p w:rsidR="00504976" w:rsidRPr="0050035B" w:rsidRDefault="00504976" w:rsidP="00504976">
      <w:pPr>
        <w:spacing w:line="360" w:lineRule="auto"/>
        <w:ind w:firstLine="720"/>
        <w:jc w:val="both"/>
        <w:rPr>
          <w:rFonts w:ascii="Century Gothic" w:hAnsi="Century Gothic"/>
          <w:lang w:val="es-MX"/>
        </w:rPr>
      </w:pPr>
    </w:p>
    <w:p w:rsidR="00504976" w:rsidRPr="0050035B" w:rsidRDefault="00504976" w:rsidP="00504976">
      <w:pPr>
        <w:spacing w:line="360" w:lineRule="auto"/>
        <w:ind w:firstLine="720"/>
        <w:jc w:val="both"/>
        <w:rPr>
          <w:rFonts w:ascii="Century Gothic" w:hAnsi="Century Gothic"/>
          <w:lang w:val="es-MX"/>
        </w:rPr>
      </w:pPr>
    </w:p>
    <w:p w:rsidR="00504976" w:rsidRPr="0050035B" w:rsidRDefault="00504976" w:rsidP="00504976">
      <w:pPr>
        <w:spacing w:line="360" w:lineRule="auto"/>
        <w:ind w:firstLine="720"/>
        <w:jc w:val="both"/>
        <w:rPr>
          <w:rFonts w:ascii="Century Gothic" w:hAnsi="Century Gothic"/>
          <w:lang w:val="es-MX"/>
        </w:rPr>
      </w:pPr>
    </w:p>
    <w:p w:rsidR="00504976" w:rsidRPr="0050035B" w:rsidRDefault="00504976" w:rsidP="00504976">
      <w:pPr>
        <w:spacing w:line="360" w:lineRule="auto"/>
        <w:rPr>
          <w:rFonts w:ascii="Century Gothic" w:hAnsi="Century Gothic"/>
          <w:lang w:val="es-MX"/>
        </w:rPr>
      </w:pPr>
    </w:p>
    <w:p w:rsidR="00504976" w:rsidRPr="0050035B" w:rsidRDefault="00504976" w:rsidP="00504976">
      <w:pPr>
        <w:spacing w:line="360" w:lineRule="auto"/>
        <w:rPr>
          <w:rFonts w:ascii="Century Gothic" w:hAnsi="Century Gothic"/>
          <w:lang w:val="es-MX"/>
        </w:rPr>
      </w:pPr>
    </w:p>
    <w:p w:rsidR="00504976" w:rsidRPr="0050035B" w:rsidRDefault="00504976" w:rsidP="00504976">
      <w:pPr>
        <w:spacing w:line="360" w:lineRule="auto"/>
        <w:rPr>
          <w:rFonts w:ascii="Century Gothic" w:hAnsi="Century Gothic"/>
          <w:lang w:val="es-MX"/>
        </w:rPr>
      </w:pPr>
    </w:p>
    <w:p w:rsidR="00504976" w:rsidRPr="0050035B" w:rsidRDefault="00504976" w:rsidP="00504976">
      <w:pPr>
        <w:spacing w:line="360" w:lineRule="auto"/>
        <w:rPr>
          <w:rFonts w:ascii="Century Gothic" w:hAnsi="Century Gothic"/>
          <w:lang w:val="es-MX"/>
        </w:rPr>
      </w:pPr>
    </w:p>
    <w:p w:rsidR="00504976" w:rsidRPr="0050035B" w:rsidRDefault="00504976" w:rsidP="00504976">
      <w:pPr>
        <w:spacing w:line="360" w:lineRule="auto"/>
        <w:rPr>
          <w:rFonts w:ascii="Century Gothic" w:hAnsi="Century Gothic"/>
          <w:sz w:val="16"/>
          <w:szCs w:val="16"/>
          <w:lang w:val="es-MX"/>
        </w:rPr>
      </w:pPr>
    </w:p>
    <w:p w:rsidR="00504976" w:rsidRPr="0050035B" w:rsidRDefault="00504976" w:rsidP="00504976">
      <w:pPr>
        <w:ind w:left="1560" w:right="1585"/>
        <w:jc w:val="both"/>
        <w:rPr>
          <w:rFonts w:ascii="Century Gothic" w:hAnsi="Century Gothic"/>
          <w:b/>
          <w:bCs/>
          <w:sz w:val="20"/>
          <w:lang w:val="es-MX"/>
        </w:rPr>
      </w:pPr>
    </w:p>
    <w:p w:rsidR="00504976" w:rsidRPr="0050035B" w:rsidRDefault="00504976" w:rsidP="00504976">
      <w:pPr>
        <w:ind w:left="1560" w:right="1585"/>
        <w:jc w:val="both"/>
        <w:rPr>
          <w:rFonts w:ascii="Century Gothic" w:hAnsi="Century Gothic"/>
          <w:b/>
          <w:bCs/>
          <w:sz w:val="20"/>
          <w:lang w:val="es-MX"/>
        </w:rPr>
      </w:pPr>
    </w:p>
    <w:p w:rsidR="007A3904" w:rsidRDefault="007A3904" w:rsidP="00504976">
      <w:pPr>
        <w:ind w:left="1560" w:right="1585"/>
        <w:jc w:val="both"/>
        <w:rPr>
          <w:rFonts w:ascii="Century Gothic" w:hAnsi="Century Gothic"/>
          <w:b/>
          <w:bCs/>
          <w:sz w:val="20"/>
          <w:lang w:val="es-MX"/>
        </w:rPr>
      </w:pPr>
    </w:p>
    <w:p w:rsidR="007A3904" w:rsidRDefault="007A3904" w:rsidP="00504976">
      <w:pPr>
        <w:ind w:left="1560" w:right="1585"/>
        <w:jc w:val="both"/>
        <w:rPr>
          <w:rFonts w:ascii="Century Gothic" w:hAnsi="Century Gothic"/>
          <w:b/>
          <w:bCs/>
          <w:sz w:val="20"/>
          <w:lang w:val="es-MX"/>
        </w:rPr>
      </w:pPr>
    </w:p>
    <w:p w:rsidR="007A3904" w:rsidRDefault="007A3904" w:rsidP="00504976">
      <w:pPr>
        <w:ind w:left="1560" w:right="1585"/>
        <w:jc w:val="both"/>
        <w:rPr>
          <w:rFonts w:ascii="Century Gothic" w:hAnsi="Century Gothic"/>
          <w:b/>
          <w:bCs/>
          <w:sz w:val="20"/>
          <w:lang w:val="es-MX"/>
        </w:rPr>
      </w:pPr>
    </w:p>
    <w:p w:rsidR="007A3904" w:rsidRDefault="007A3904" w:rsidP="00504976">
      <w:pPr>
        <w:ind w:left="1560" w:right="1585"/>
        <w:jc w:val="both"/>
        <w:rPr>
          <w:rFonts w:ascii="Century Gothic" w:hAnsi="Century Gothic"/>
          <w:b/>
          <w:bCs/>
          <w:sz w:val="20"/>
          <w:lang w:val="es-MX"/>
        </w:rPr>
      </w:pPr>
    </w:p>
    <w:p w:rsidR="007A3904" w:rsidRDefault="007A3904" w:rsidP="00504976">
      <w:pPr>
        <w:ind w:left="1560" w:right="1585"/>
        <w:jc w:val="both"/>
        <w:rPr>
          <w:rFonts w:ascii="Century Gothic" w:hAnsi="Century Gothic"/>
          <w:b/>
          <w:bCs/>
          <w:sz w:val="20"/>
          <w:lang w:val="es-MX"/>
        </w:rPr>
      </w:pPr>
    </w:p>
    <w:p w:rsidR="00504976" w:rsidRPr="0050035B" w:rsidRDefault="00504976" w:rsidP="00504976">
      <w:pPr>
        <w:ind w:left="1560" w:right="1585"/>
        <w:jc w:val="both"/>
        <w:rPr>
          <w:rFonts w:ascii="Century Gothic" w:hAnsi="Century Gothic"/>
          <w:sz w:val="20"/>
          <w:lang w:val="es-MX"/>
        </w:rPr>
      </w:pPr>
      <w:r w:rsidRPr="0050035B">
        <w:rPr>
          <w:rFonts w:ascii="Century Gothic" w:hAnsi="Century Gothic"/>
          <w:b/>
          <w:bCs/>
          <w:sz w:val="20"/>
          <w:lang w:val="es-MX"/>
        </w:rPr>
        <w:t>Fuente</w:t>
      </w:r>
      <w:r w:rsidRPr="0050035B">
        <w:rPr>
          <w:rFonts w:ascii="Century Gothic" w:hAnsi="Century Gothic"/>
          <w:sz w:val="20"/>
          <w:lang w:val="es-MX"/>
        </w:rPr>
        <w:t>: Secretaría de Economía. En web DataMéxico</w:t>
      </w:r>
      <w:r w:rsidRPr="0050035B">
        <w:rPr>
          <w:rStyle w:val="Refdenotaalpie"/>
          <w:rFonts w:ascii="Century Gothic" w:hAnsi="Century Gothic"/>
          <w:sz w:val="20"/>
          <w:lang w:val="es-MX"/>
        </w:rPr>
        <w:footnoteReference w:id="24"/>
      </w:r>
      <w:r w:rsidRPr="0050035B">
        <w:rPr>
          <w:rFonts w:ascii="Century Gothic" w:hAnsi="Century Gothic"/>
          <w:sz w:val="20"/>
          <w:lang w:val="es-MX"/>
        </w:rPr>
        <w:t xml:space="preserve">. </w:t>
      </w:r>
    </w:p>
    <w:p w:rsidR="00504976" w:rsidRPr="0050035B" w:rsidRDefault="00A35253" w:rsidP="00504976">
      <w:pPr>
        <w:spacing w:line="360" w:lineRule="auto"/>
        <w:ind w:firstLine="720"/>
        <w:jc w:val="both"/>
        <w:rPr>
          <w:rFonts w:ascii="Century Gothic" w:hAnsi="Century Gothic"/>
          <w:lang w:val="es-MX"/>
        </w:rPr>
      </w:pPr>
      <w:r w:rsidRPr="00A35253">
        <w:rPr>
          <w:rFonts w:ascii="Century Gothic" w:hAnsi="Century Gothic"/>
          <w:lang w:val="es-MX"/>
        </w:rPr>
        <w:lastRenderedPageBreak/>
        <w:t>La visualización muestra la distribución de población según tiempos de tra</w:t>
      </w:r>
      <w:r w:rsidR="007B1C9C">
        <w:rPr>
          <w:rFonts w:ascii="Century Gothic" w:hAnsi="Century Gothic"/>
          <w:lang w:val="es-MX"/>
        </w:rPr>
        <w:t>slado hasta su trabajo en 2020 (gr</w:t>
      </w:r>
      <w:r w:rsidRPr="00A35253">
        <w:rPr>
          <w:rFonts w:ascii="Century Gothic" w:hAnsi="Century Gothic"/>
          <w:lang w:val="es-MX"/>
        </w:rPr>
        <w:t>áfica 2.9.</w:t>
      </w:r>
      <w:r w:rsidR="007B1C9C">
        <w:rPr>
          <w:rFonts w:ascii="Century Gothic" w:hAnsi="Century Gothic"/>
          <w:lang w:val="es-MX"/>
        </w:rPr>
        <w:t>)</w:t>
      </w:r>
      <w:r w:rsidRPr="00A35253">
        <w:rPr>
          <w:rFonts w:ascii="Century Gothic" w:hAnsi="Century Gothic"/>
          <w:lang w:val="es-MX"/>
        </w:rPr>
        <w:t xml:space="preserve"> comparado con los tiempos de traslado a nivel nacional. En Monterrey, el tiempo promedio de traslado del hogar al trabajo fue 38.5 minutos, 81.2% de la población tarda menos de una hora en el traslado, mientras que 9.81% tarda más de 1 hora en llegar a su trabajo. Por otro lado, el tiempo promedio de traslado del hogar al lugar de estudios fue 20.3 minutos, 95.8% de la población tarda menos de una hora en el traslado, mientras que 2.67% tarda más de 1 hora</w:t>
      </w:r>
      <w:r w:rsidR="00504976" w:rsidRPr="0050035B">
        <w:rPr>
          <w:rStyle w:val="Refdenotaalpie"/>
          <w:rFonts w:ascii="Century Gothic" w:hAnsi="Century Gothic"/>
          <w:lang w:val="es-MX"/>
        </w:rPr>
        <w:footnoteReference w:id="25"/>
      </w:r>
      <w:r w:rsidR="00504976" w:rsidRPr="0050035B">
        <w:rPr>
          <w:rFonts w:ascii="Century Gothic" w:hAnsi="Century Gothic"/>
          <w:lang w:val="es-MX"/>
        </w:rPr>
        <w:t>.</w:t>
      </w:r>
    </w:p>
    <w:p w:rsidR="00504976" w:rsidRPr="0050035B" w:rsidRDefault="00504976" w:rsidP="00504976">
      <w:pPr>
        <w:ind w:right="1585"/>
        <w:jc w:val="both"/>
        <w:rPr>
          <w:rFonts w:ascii="Century Gothic" w:hAnsi="Century Gothic"/>
          <w:sz w:val="20"/>
          <w:lang w:val="es-MX"/>
        </w:rPr>
      </w:pPr>
    </w:p>
    <w:p w:rsidR="00E13585" w:rsidRPr="0050035B" w:rsidRDefault="00E13585" w:rsidP="00E13585">
      <w:pPr>
        <w:spacing w:line="360" w:lineRule="auto"/>
        <w:ind w:firstLine="720"/>
        <w:jc w:val="both"/>
        <w:rPr>
          <w:rFonts w:ascii="Century Gothic" w:hAnsi="Century Gothic"/>
          <w:lang w:val="es-MX"/>
        </w:rPr>
      </w:pPr>
      <w:r w:rsidRPr="0050035B">
        <w:rPr>
          <w:rFonts w:ascii="Century Gothic" w:hAnsi="Century Gothic"/>
          <w:lang w:val="es-MX"/>
        </w:rPr>
        <w:t>En materia de seguridad según DataMéxico</w:t>
      </w:r>
      <w:r w:rsidRPr="0050035B">
        <w:rPr>
          <w:rStyle w:val="Refdenotaalpie"/>
          <w:rFonts w:ascii="Century Gothic" w:hAnsi="Century Gothic"/>
          <w:lang w:val="es-MX"/>
        </w:rPr>
        <w:footnoteReference w:id="26"/>
      </w:r>
      <w:r w:rsidRPr="0050035B">
        <w:rPr>
          <w:rFonts w:ascii="Century Gothic" w:hAnsi="Century Gothic"/>
          <w:lang w:val="es-MX"/>
        </w:rPr>
        <w:t xml:space="preserve">, </w:t>
      </w:r>
      <w:r w:rsidR="00A35253" w:rsidRPr="00A35253">
        <w:rPr>
          <w:rFonts w:ascii="Century Gothic" w:hAnsi="Century Gothic"/>
          <w:lang w:val="es-MX"/>
        </w:rPr>
        <w:t>con datos del Secretariado Ejecutivo del Sistema Nacional de Seguridad Pública (SESNSP) las denuncias con mayor ocurrencia durante agosto de 2021 fueron violencia familiar (372), robo (320) y Fraude (214), las cuales abarcaron un 43.5% del total de denuncias del mes. Al comparar el número de denuncias en agosto de 2020 y agosto de 2021, aquellas con mayor crecimiento fueron Extorsión (233%), Amenazas (216%) y Fraude (201%).</w:t>
      </w:r>
    </w:p>
    <w:p w:rsidR="001E7114" w:rsidRPr="0050035B" w:rsidRDefault="001E7114" w:rsidP="00E17F3E">
      <w:pPr>
        <w:rPr>
          <w:rFonts w:ascii="Century Gothic" w:hAnsi="Century Gothic"/>
          <w:b/>
          <w:lang w:val="es-MX"/>
        </w:rPr>
      </w:pPr>
    </w:p>
    <w:p w:rsidR="001E7114" w:rsidRPr="0050035B" w:rsidRDefault="001E7114" w:rsidP="00E17F3E">
      <w:pPr>
        <w:rPr>
          <w:rFonts w:ascii="Century Gothic" w:hAnsi="Century Gothic"/>
          <w:b/>
          <w:lang w:val="es-MX"/>
        </w:rPr>
      </w:pPr>
    </w:p>
    <w:p w:rsidR="000A515C" w:rsidRPr="0050035B" w:rsidRDefault="00E17F3E" w:rsidP="00E17F3E">
      <w:pPr>
        <w:rPr>
          <w:rFonts w:ascii="Century Gothic" w:hAnsi="Century Gothic"/>
          <w:b/>
          <w:lang w:val="es-MX"/>
        </w:rPr>
      </w:pPr>
      <w:r w:rsidRPr="0050035B">
        <w:rPr>
          <w:rFonts w:ascii="Century Gothic" w:hAnsi="Century Gothic"/>
          <w:b/>
          <w:lang w:val="es-MX"/>
        </w:rPr>
        <w:t xml:space="preserve">2.2.2 </w:t>
      </w:r>
      <w:r w:rsidR="008F203D" w:rsidRPr="0050035B">
        <w:rPr>
          <w:rFonts w:ascii="Century Gothic" w:hAnsi="Century Gothic"/>
          <w:b/>
          <w:lang w:val="es-MX"/>
        </w:rPr>
        <w:t>Políticas Públicas Municipales</w:t>
      </w:r>
    </w:p>
    <w:p w:rsidR="008B52D3" w:rsidRPr="0050035B" w:rsidRDefault="008B52D3" w:rsidP="00B80476">
      <w:pPr>
        <w:pStyle w:val="Prrafodelista"/>
        <w:ind w:left="1440"/>
        <w:rPr>
          <w:rFonts w:ascii="Century Gothic" w:hAnsi="Century Gothic"/>
          <w:b/>
          <w:lang w:val="es-MX"/>
        </w:rPr>
      </w:pPr>
    </w:p>
    <w:p w:rsidR="00AF590B" w:rsidRPr="0050035B" w:rsidRDefault="00051D81" w:rsidP="00AF590B">
      <w:pPr>
        <w:spacing w:line="360" w:lineRule="auto"/>
        <w:jc w:val="both"/>
        <w:rPr>
          <w:rFonts w:ascii="Century Gothic" w:hAnsi="Century Gothic"/>
          <w:lang w:val="es-MX"/>
        </w:rPr>
      </w:pPr>
      <w:r w:rsidRPr="0050035B">
        <w:rPr>
          <w:rFonts w:ascii="Century Gothic" w:hAnsi="Century Gothic"/>
          <w:lang w:val="es-MX"/>
        </w:rPr>
        <w:t>En concordancia con lo estipulado por el</w:t>
      </w:r>
      <w:r w:rsidR="00AF590B" w:rsidRPr="0050035B">
        <w:rPr>
          <w:rFonts w:ascii="Century Gothic" w:hAnsi="Century Gothic"/>
          <w:lang w:val="es-MX"/>
        </w:rPr>
        <w:t xml:space="preserve"> artículo 33 de la Ley de Gobierno Municipal del Estado de Nuevo León, fracción I</w:t>
      </w:r>
      <w:r w:rsidRPr="0050035B">
        <w:rPr>
          <w:rFonts w:ascii="Century Gothic" w:hAnsi="Century Gothic"/>
          <w:lang w:val="es-MX"/>
        </w:rPr>
        <w:t>,</w:t>
      </w:r>
      <w:r w:rsidR="00AF590B" w:rsidRPr="0050035B">
        <w:rPr>
          <w:rFonts w:ascii="Century Gothic" w:hAnsi="Century Gothic"/>
          <w:lang w:val="es-MX"/>
        </w:rPr>
        <w:t xml:space="preserve"> inciso j) “El Ayuntamiento tendrá las siguientes facultades y obligaciones. En materia de </w:t>
      </w:r>
      <w:r w:rsidR="00C86CA4" w:rsidRPr="0050035B">
        <w:rPr>
          <w:rFonts w:ascii="Century Gothic" w:hAnsi="Century Gothic"/>
          <w:lang w:val="es-MX"/>
        </w:rPr>
        <w:t>Gobierno y Régimen Interior:…</w:t>
      </w:r>
      <w:r w:rsidR="00AF590B" w:rsidRPr="0050035B">
        <w:rPr>
          <w:rFonts w:ascii="Century Gothic" w:hAnsi="Century Gothic"/>
          <w:lang w:val="es-MX"/>
        </w:rPr>
        <w:t>Elaborar, aprobar y publicar, en los términos de la presente Ley, dentro de los tres primeros meses, a partir de la fecha de la instalación del Ayuntamiento, el Plan Municipal de De</w:t>
      </w:r>
      <w:r w:rsidR="00FF3744" w:rsidRPr="0050035B">
        <w:rPr>
          <w:rFonts w:ascii="Century Gothic" w:hAnsi="Century Gothic"/>
          <w:lang w:val="es-MX"/>
        </w:rPr>
        <w:t>sarrollo correspondiente al perí</w:t>
      </w:r>
      <w:r w:rsidR="00AF590B" w:rsidRPr="0050035B">
        <w:rPr>
          <w:rFonts w:ascii="Century Gothic" w:hAnsi="Century Gothic"/>
          <w:lang w:val="es-MX"/>
        </w:rPr>
        <w:t xml:space="preserve">odo constitucional de Gobierno y derivados de éste, los programas de obras y servicios públicos de su competencia, enfocados </w:t>
      </w:r>
      <w:r w:rsidR="00AF590B" w:rsidRPr="0050035B">
        <w:rPr>
          <w:rFonts w:ascii="Century Gothic" w:hAnsi="Century Gothic"/>
          <w:lang w:val="es-MX"/>
        </w:rPr>
        <w:lastRenderedPageBreak/>
        <w:t xml:space="preserve">principalmente a aspectos relacionados con el desarrollo institucional para un buen gobierno, el desarrollo social incluyente, el desarrollo económico sostenible y el desarrollo ambiental sustentable;…”. </w:t>
      </w:r>
    </w:p>
    <w:p w:rsidR="00AF590B" w:rsidRPr="0050035B" w:rsidRDefault="00AF590B" w:rsidP="00AF590B">
      <w:pPr>
        <w:spacing w:line="360" w:lineRule="auto"/>
        <w:jc w:val="both"/>
        <w:rPr>
          <w:rFonts w:ascii="Century Gothic" w:hAnsi="Century Gothic"/>
          <w:lang w:val="es-MX"/>
        </w:rPr>
      </w:pPr>
    </w:p>
    <w:p w:rsidR="00E574B6" w:rsidRPr="00E574B6" w:rsidRDefault="00051D81" w:rsidP="00E574B6">
      <w:pPr>
        <w:spacing w:line="360" w:lineRule="auto"/>
        <w:ind w:firstLine="720"/>
        <w:jc w:val="both"/>
        <w:rPr>
          <w:rFonts w:ascii="Century Gothic" w:hAnsi="Century Gothic"/>
          <w:lang w:val="es-MX"/>
        </w:rPr>
      </w:pPr>
      <w:r w:rsidRPr="0050035B">
        <w:rPr>
          <w:rFonts w:ascii="Century Gothic" w:hAnsi="Century Gothic"/>
          <w:lang w:val="es-MX"/>
        </w:rPr>
        <w:t>Da sustento a lo señalado en el párrafo anterior lo estipulado por el artículo</w:t>
      </w:r>
      <w:r w:rsidR="00AF590B" w:rsidRPr="0050035B">
        <w:rPr>
          <w:rFonts w:ascii="Century Gothic" w:hAnsi="Century Gothic"/>
          <w:lang w:val="es-MX"/>
        </w:rPr>
        <w:t xml:space="preserve"> 150 del mismo cuerpo normativo</w:t>
      </w:r>
      <w:r w:rsidRPr="0050035B">
        <w:rPr>
          <w:rFonts w:ascii="Century Gothic" w:hAnsi="Century Gothic"/>
          <w:lang w:val="es-MX"/>
        </w:rPr>
        <w:t>, el cual</w:t>
      </w:r>
      <w:r w:rsidR="00AF590B" w:rsidRPr="0050035B">
        <w:rPr>
          <w:rFonts w:ascii="Century Gothic" w:hAnsi="Century Gothic"/>
          <w:lang w:val="es-MX"/>
        </w:rPr>
        <w:t xml:space="preserve"> señala que “El Ayuntamiento organizará un sistema de planeación del desarrollo municipal, el que se concretizará en el Plan Municipal de Desarrollo y los programas que se deriven de dicho plan. En la planeación se fijarán los objetivos, metas, estrategias y prioridades para la asignación de recursos, responsabilidades y tiempos de ejecución en los que se coordinarán las acciones y se evaluarán los resultados. El Ayuntamiento deberá formular y aprobar el Plan Municipal de Desarrollo, dentro de los tres meses siguientes a la toma de posesión, considerando en él, las acciones a realizar durante el periodo que le corresponda, </w:t>
      </w:r>
      <w:r w:rsidR="00AF590B" w:rsidRPr="00F470D9">
        <w:rPr>
          <w:rFonts w:ascii="Century Gothic" w:hAnsi="Century Gothic"/>
          <w:lang w:val="es-MX"/>
        </w:rPr>
        <w:t>debiendo difundirse el mismo</w:t>
      </w:r>
      <w:r w:rsidR="00AF590B" w:rsidRPr="00E574B6">
        <w:rPr>
          <w:rFonts w:ascii="Century Gothic" w:hAnsi="Century Gothic"/>
          <w:lang w:val="es-MX"/>
        </w:rPr>
        <w:t>”.</w:t>
      </w:r>
      <w:r w:rsidR="00FF3744" w:rsidRPr="00E574B6">
        <w:rPr>
          <w:rFonts w:ascii="Century Gothic" w:hAnsi="Century Gothic"/>
          <w:lang w:val="es-MX"/>
        </w:rPr>
        <w:t xml:space="preserve"> </w:t>
      </w:r>
    </w:p>
    <w:p w:rsidR="00E574B6" w:rsidRPr="00E574B6" w:rsidRDefault="00E574B6" w:rsidP="00E574B6">
      <w:pPr>
        <w:spacing w:line="360" w:lineRule="auto"/>
        <w:jc w:val="both"/>
        <w:rPr>
          <w:rFonts w:ascii="Century Gothic" w:hAnsi="Century Gothic"/>
          <w:lang w:val="es-MX"/>
        </w:rPr>
      </w:pPr>
    </w:p>
    <w:p w:rsidR="005E2860" w:rsidRDefault="00051D81" w:rsidP="00DD2355">
      <w:pPr>
        <w:spacing w:line="360" w:lineRule="auto"/>
        <w:ind w:firstLine="720"/>
        <w:jc w:val="both"/>
        <w:rPr>
          <w:rFonts w:ascii="Century Gothic" w:hAnsi="Century Gothic"/>
          <w:lang w:val="es-MX"/>
        </w:rPr>
      </w:pPr>
      <w:r w:rsidRPr="00E574B6">
        <w:rPr>
          <w:rFonts w:ascii="Century Gothic" w:hAnsi="Century Gothic"/>
          <w:lang w:val="es-MX"/>
        </w:rPr>
        <w:t xml:space="preserve">Con sustento en estas normas jurídicas es que son </w:t>
      </w:r>
      <w:r w:rsidR="00043E90" w:rsidRPr="00E574B6">
        <w:rPr>
          <w:rFonts w:ascii="Century Gothic" w:hAnsi="Century Gothic"/>
          <w:lang w:val="es-MX"/>
        </w:rPr>
        <w:t>presentados los</w:t>
      </w:r>
      <w:r w:rsidR="00045A12" w:rsidRPr="00E574B6">
        <w:rPr>
          <w:rFonts w:ascii="Century Gothic" w:hAnsi="Century Gothic"/>
          <w:lang w:val="es-MX"/>
        </w:rPr>
        <w:t xml:space="preserve"> </w:t>
      </w:r>
      <w:r w:rsidR="00DD2355">
        <w:rPr>
          <w:rFonts w:ascii="Century Gothic" w:hAnsi="Century Gothic"/>
          <w:lang w:val="es-MX"/>
        </w:rPr>
        <w:t>53</w:t>
      </w:r>
      <w:r w:rsidR="005E2860" w:rsidRPr="00E574B6">
        <w:rPr>
          <w:rFonts w:ascii="Century Gothic" w:hAnsi="Century Gothic"/>
          <w:lang w:val="es-MX"/>
        </w:rPr>
        <w:t xml:space="preserve"> Programas Presupuestarios (Pp´s) que se prevé estén vigentes para el ejercicio fiscal 2022, los cuales se encontrarán alineados con los ejes del Plan de Desarrollo Municipal</w:t>
      </w:r>
      <w:r w:rsidR="00E574B6" w:rsidRPr="00E574B6">
        <w:rPr>
          <w:rFonts w:ascii="Century Gothic" w:hAnsi="Century Gothic"/>
          <w:lang w:val="es-MX"/>
        </w:rPr>
        <w:t xml:space="preserve"> de vigente</w:t>
      </w:r>
      <w:r w:rsidR="00DD2355">
        <w:rPr>
          <w:rFonts w:ascii="Century Gothic" w:hAnsi="Century Gothic"/>
          <w:lang w:val="es-MX"/>
        </w:rPr>
        <w:t xml:space="preserve"> que son : I)</w:t>
      </w:r>
      <w:r w:rsidR="00DD2355" w:rsidRPr="00DD2355">
        <w:rPr>
          <w:rFonts w:ascii="Century Gothic" w:hAnsi="Century Gothic"/>
          <w:lang w:val="es-MX"/>
        </w:rPr>
        <w:t xml:space="preserve"> Ciudad Humana</w:t>
      </w:r>
      <w:r w:rsidR="00DD2355">
        <w:rPr>
          <w:rFonts w:ascii="Century Gothic" w:hAnsi="Century Gothic"/>
          <w:lang w:val="es-MX"/>
        </w:rPr>
        <w:t xml:space="preserve">; II) </w:t>
      </w:r>
      <w:r w:rsidR="00DD2355" w:rsidRPr="00DD2355">
        <w:rPr>
          <w:rFonts w:ascii="Century Gothic" w:hAnsi="Century Gothic"/>
          <w:lang w:val="es-MX"/>
        </w:rPr>
        <w:t>Ciudad Abierta</w:t>
      </w:r>
      <w:r w:rsidR="00DD2355">
        <w:rPr>
          <w:rFonts w:ascii="Century Gothic" w:hAnsi="Century Gothic"/>
          <w:lang w:val="es-MX"/>
        </w:rPr>
        <w:t xml:space="preserve">; III) Ciudad Sostenible; IV) </w:t>
      </w:r>
      <w:r w:rsidR="00DD2355" w:rsidRPr="00DD2355">
        <w:rPr>
          <w:rFonts w:ascii="Century Gothic" w:hAnsi="Century Gothic"/>
          <w:lang w:val="es-MX"/>
        </w:rPr>
        <w:t>Ciudad Prospera</w:t>
      </w:r>
      <w:r w:rsidR="00DD2355">
        <w:rPr>
          <w:rFonts w:ascii="Century Gothic" w:hAnsi="Century Gothic"/>
          <w:lang w:val="es-MX"/>
        </w:rPr>
        <w:t xml:space="preserve">; y V) </w:t>
      </w:r>
      <w:r w:rsidR="00DD2355" w:rsidRPr="00DD2355">
        <w:rPr>
          <w:rFonts w:ascii="Century Gothic" w:hAnsi="Century Gothic"/>
          <w:lang w:val="es-MX"/>
        </w:rPr>
        <w:t>Ciudad en Paz</w:t>
      </w:r>
      <w:r w:rsidR="00E574B6" w:rsidRPr="00E574B6">
        <w:rPr>
          <w:rFonts w:ascii="Century Gothic" w:hAnsi="Century Gothic"/>
          <w:lang w:val="es-MX"/>
        </w:rPr>
        <w:t xml:space="preserve">, además se encuentra en alineación con el Plan de Desarrollo del Estado de Nuevo León, así como con el Plan Nacional de Desarrollo vigentes y </w:t>
      </w:r>
      <w:r w:rsidR="006333F5" w:rsidRPr="00E574B6">
        <w:rPr>
          <w:rFonts w:ascii="Century Gothic" w:hAnsi="Century Gothic"/>
          <w:lang w:val="es-MX"/>
        </w:rPr>
        <w:t>son</w:t>
      </w:r>
      <w:r w:rsidR="005E2860" w:rsidRPr="00E574B6">
        <w:rPr>
          <w:rFonts w:ascii="Century Gothic" w:hAnsi="Century Gothic"/>
          <w:lang w:val="es-MX"/>
        </w:rPr>
        <w:t>:</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t xml:space="preserve">Gobierno </w:t>
      </w:r>
      <w:r w:rsidR="00C12ABA">
        <w:rPr>
          <w:rFonts w:ascii="Century Gothic" w:hAnsi="Century Gothic"/>
          <w:lang w:val="es-MX"/>
        </w:rPr>
        <w:t>d</w:t>
      </w:r>
      <w:r w:rsidRPr="00DD2355">
        <w:rPr>
          <w:rFonts w:ascii="Century Gothic" w:hAnsi="Century Gothic"/>
          <w:lang w:val="es-MX"/>
        </w:rPr>
        <w:t xml:space="preserve">igital y </w:t>
      </w:r>
      <w:r w:rsidR="00C12ABA">
        <w:rPr>
          <w:rFonts w:ascii="Century Gothic" w:hAnsi="Century Gothic"/>
          <w:lang w:val="es-MX"/>
        </w:rPr>
        <w:t>e</w:t>
      </w:r>
      <w:r w:rsidRPr="00DD2355">
        <w:rPr>
          <w:rFonts w:ascii="Century Gothic" w:hAnsi="Century Gothic"/>
          <w:lang w:val="es-MX"/>
        </w:rPr>
        <w:t>ficiente</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t xml:space="preserve">Mejora </w:t>
      </w:r>
      <w:r w:rsidR="00C12ABA">
        <w:rPr>
          <w:rFonts w:ascii="Century Gothic" w:hAnsi="Century Gothic"/>
          <w:lang w:val="es-MX"/>
        </w:rPr>
        <w:t>r</w:t>
      </w:r>
      <w:r w:rsidRPr="00DD2355">
        <w:rPr>
          <w:rFonts w:ascii="Century Gothic" w:hAnsi="Century Gothic"/>
          <w:lang w:val="es-MX"/>
        </w:rPr>
        <w:t>egulatoria</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t>Combate a la corrupción mediante la fiscalización y rendición de cuentas</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lastRenderedPageBreak/>
        <w:t>Combate a la corrupción y faltas administrativas de los servidores públicos</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Sistema de e</w:t>
      </w:r>
      <w:r w:rsidR="00DD2355" w:rsidRPr="00DD2355">
        <w:rPr>
          <w:rFonts w:ascii="Century Gothic" w:hAnsi="Century Gothic"/>
          <w:lang w:val="es-MX"/>
        </w:rPr>
        <w:t xml:space="preserve">valuación del </w:t>
      </w:r>
      <w:r>
        <w:rPr>
          <w:rFonts w:ascii="Century Gothic" w:hAnsi="Century Gothic"/>
          <w:lang w:val="es-MX"/>
        </w:rPr>
        <w:t>d</w:t>
      </w:r>
      <w:r w:rsidR="00DD2355" w:rsidRPr="00DD2355">
        <w:rPr>
          <w:rFonts w:ascii="Century Gothic" w:hAnsi="Century Gothic"/>
          <w:lang w:val="es-MX"/>
        </w:rPr>
        <w:t>esempeño</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Control i</w:t>
      </w:r>
      <w:r w:rsidR="00DD2355" w:rsidRPr="00DD2355">
        <w:rPr>
          <w:rFonts w:ascii="Century Gothic" w:hAnsi="Century Gothic"/>
          <w:lang w:val="es-MX"/>
        </w:rPr>
        <w:t>nterno</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t xml:space="preserve">Vinculación y </w:t>
      </w:r>
      <w:r w:rsidR="00C12ABA">
        <w:rPr>
          <w:rFonts w:ascii="Century Gothic" w:hAnsi="Century Gothic"/>
          <w:lang w:val="es-MX"/>
        </w:rPr>
        <w:t>participación c</w:t>
      </w:r>
      <w:r w:rsidRPr="00DD2355">
        <w:rPr>
          <w:rFonts w:ascii="Century Gothic" w:hAnsi="Century Gothic"/>
          <w:lang w:val="es-MX"/>
        </w:rPr>
        <w:t>iudadana</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Protección c</w:t>
      </w:r>
      <w:r w:rsidR="00DD2355" w:rsidRPr="00DD2355">
        <w:rPr>
          <w:rFonts w:ascii="Century Gothic" w:hAnsi="Century Gothic"/>
          <w:lang w:val="es-MX"/>
        </w:rPr>
        <w:t>ivil</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Prevención del d</w:t>
      </w:r>
      <w:r w:rsidR="00DD2355" w:rsidRPr="00DD2355">
        <w:rPr>
          <w:rFonts w:ascii="Century Gothic" w:hAnsi="Century Gothic"/>
          <w:lang w:val="es-MX"/>
        </w:rPr>
        <w:t>elito</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t xml:space="preserve">Formación y </w:t>
      </w:r>
      <w:r w:rsidR="00C12ABA">
        <w:rPr>
          <w:rFonts w:ascii="Century Gothic" w:hAnsi="Century Gothic"/>
          <w:lang w:val="es-MX"/>
        </w:rPr>
        <w:t>p</w:t>
      </w:r>
      <w:r w:rsidRPr="00DD2355">
        <w:rPr>
          <w:rFonts w:ascii="Century Gothic" w:hAnsi="Century Gothic"/>
          <w:lang w:val="es-MX"/>
        </w:rPr>
        <w:t xml:space="preserve">rofesionalización </w:t>
      </w:r>
      <w:r w:rsidR="00C12ABA">
        <w:rPr>
          <w:rFonts w:ascii="Century Gothic" w:hAnsi="Century Gothic"/>
          <w:lang w:val="es-MX"/>
        </w:rPr>
        <w:t>p</w:t>
      </w:r>
      <w:r w:rsidRPr="00DD2355">
        <w:rPr>
          <w:rFonts w:ascii="Century Gothic" w:hAnsi="Century Gothic"/>
          <w:lang w:val="es-MX"/>
        </w:rPr>
        <w:t>olicial</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t>Movilidad</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t>Seguridad Pública Municipal</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t xml:space="preserve">Perspectiva de </w:t>
      </w:r>
      <w:r w:rsidR="00C12ABA">
        <w:rPr>
          <w:rFonts w:ascii="Century Gothic" w:hAnsi="Century Gothic"/>
          <w:lang w:val="es-MX"/>
        </w:rPr>
        <w:t>g</w:t>
      </w:r>
      <w:r w:rsidRPr="00DD2355">
        <w:rPr>
          <w:rFonts w:ascii="Century Gothic" w:hAnsi="Century Gothic"/>
          <w:lang w:val="es-MX"/>
        </w:rPr>
        <w:t>énero I</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t xml:space="preserve">Inspección y </w:t>
      </w:r>
      <w:r w:rsidR="00C12ABA">
        <w:rPr>
          <w:rFonts w:ascii="Century Gothic" w:hAnsi="Century Gothic"/>
          <w:lang w:val="es-MX"/>
        </w:rPr>
        <w:t>vigilancia de e</w:t>
      </w:r>
      <w:r w:rsidRPr="00DD2355">
        <w:rPr>
          <w:rFonts w:ascii="Century Gothic" w:hAnsi="Century Gothic"/>
          <w:lang w:val="es-MX"/>
        </w:rPr>
        <w:t xml:space="preserve">spacios </w:t>
      </w:r>
      <w:r w:rsidR="00C12ABA">
        <w:rPr>
          <w:rFonts w:ascii="Century Gothic" w:hAnsi="Century Gothic"/>
          <w:lang w:val="es-MX"/>
        </w:rPr>
        <w:t>d</w:t>
      </w:r>
      <w:r w:rsidRPr="00DD2355">
        <w:rPr>
          <w:rFonts w:ascii="Century Gothic" w:hAnsi="Century Gothic"/>
          <w:lang w:val="es-MX"/>
        </w:rPr>
        <w:t xml:space="preserve">estinados al </w:t>
      </w:r>
      <w:r w:rsidR="00C12ABA">
        <w:rPr>
          <w:rFonts w:ascii="Century Gothic" w:hAnsi="Century Gothic"/>
          <w:lang w:val="es-MX"/>
        </w:rPr>
        <w:t>c</w:t>
      </w:r>
      <w:r w:rsidRPr="00DD2355">
        <w:rPr>
          <w:rFonts w:ascii="Century Gothic" w:hAnsi="Century Gothic"/>
          <w:lang w:val="es-MX"/>
        </w:rPr>
        <w:t xml:space="preserve">omercio y </w:t>
      </w:r>
      <w:r w:rsidR="00C12ABA">
        <w:rPr>
          <w:rFonts w:ascii="Century Gothic" w:hAnsi="Century Gothic"/>
          <w:lang w:val="es-MX"/>
        </w:rPr>
        <w:t>venta, e</w:t>
      </w:r>
      <w:r w:rsidRPr="00DD2355">
        <w:rPr>
          <w:rFonts w:ascii="Century Gothic" w:hAnsi="Century Gothic"/>
          <w:lang w:val="es-MX"/>
        </w:rPr>
        <w:t xml:space="preserve">xpendio o </w:t>
      </w:r>
      <w:r w:rsidR="00C12ABA">
        <w:rPr>
          <w:rFonts w:ascii="Century Gothic" w:hAnsi="Century Gothic"/>
          <w:lang w:val="es-MX"/>
        </w:rPr>
        <w:t>consumo de bebidas a</w:t>
      </w:r>
      <w:r w:rsidRPr="00DD2355">
        <w:rPr>
          <w:rFonts w:ascii="Century Gothic" w:hAnsi="Century Gothic"/>
          <w:lang w:val="es-MX"/>
        </w:rPr>
        <w:t>lcohólicas</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Promoción de la s</w:t>
      </w:r>
      <w:r w:rsidR="00DD2355" w:rsidRPr="00DD2355">
        <w:rPr>
          <w:rFonts w:ascii="Century Gothic" w:hAnsi="Century Gothic"/>
          <w:lang w:val="es-MX"/>
        </w:rPr>
        <w:t>alud</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Atención integral contra la p</w:t>
      </w:r>
      <w:r w:rsidR="00DD2355" w:rsidRPr="00DD2355">
        <w:rPr>
          <w:rFonts w:ascii="Century Gothic" w:hAnsi="Century Gothic"/>
          <w:lang w:val="es-MX"/>
        </w:rPr>
        <w:t>obreza</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t xml:space="preserve">Promoción e </w:t>
      </w:r>
      <w:r w:rsidR="00C12ABA">
        <w:rPr>
          <w:rFonts w:ascii="Century Gothic" w:hAnsi="Century Gothic"/>
          <w:lang w:val="es-MX"/>
        </w:rPr>
        <w:t>impulso al deporte y la r</w:t>
      </w:r>
      <w:r w:rsidRPr="00DD2355">
        <w:rPr>
          <w:rFonts w:ascii="Century Gothic" w:hAnsi="Century Gothic"/>
          <w:lang w:val="es-MX"/>
        </w:rPr>
        <w:t>ecreación</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Contigo m</w:t>
      </w:r>
      <w:r w:rsidR="00DD2355" w:rsidRPr="00DD2355">
        <w:rPr>
          <w:rFonts w:ascii="Century Gothic" w:hAnsi="Century Gothic"/>
          <w:lang w:val="es-MX"/>
        </w:rPr>
        <w:t>onterrey "Ahora nos cuidamos Juntas y Juntos"</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Perspectiva de gé</w:t>
      </w:r>
      <w:r w:rsidR="00DD2355" w:rsidRPr="00DD2355">
        <w:rPr>
          <w:rFonts w:ascii="Century Gothic" w:hAnsi="Century Gothic"/>
          <w:lang w:val="es-MX"/>
        </w:rPr>
        <w:t>nero</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t xml:space="preserve">Asistencia </w:t>
      </w:r>
      <w:r w:rsidR="00C12ABA">
        <w:rPr>
          <w:rFonts w:ascii="Century Gothic" w:hAnsi="Century Gothic"/>
          <w:lang w:val="es-MX"/>
        </w:rPr>
        <w:t>s</w:t>
      </w:r>
      <w:r w:rsidRPr="00DD2355">
        <w:rPr>
          <w:rFonts w:ascii="Century Gothic" w:hAnsi="Century Gothic"/>
          <w:lang w:val="es-MX"/>
        </w:rPr>
        <w:t xml:space="preserve">ocial y </w:t>
      </w:r>
      <w:r w:rsidR="00C12ABA">
        <w:rPr>
          <w:rFonts w:ascii="Century Gothic" w:hAnsi="Century Gothic"/>
          <w:lang w:val="es-MX"/>
        </w:rPr>
        <w:t>a</w:t>
      </w:r>
      <w:r w:rsidRPr="00DD2355">
        <w:rPr>
          <w:rFonts w:ascii="Century Gothic" w:hAnsi="Century Gothic"/>
          <w:lang w:val="es-MX"/>
        </w:rPr>
        <w:t>limentaria</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t>Atención al</w:t>
      </w:r>
      <w:r w:rsidR="00C12ABA">
        <w:rPr>
          <w:rFonts w:ascii="Century Gothic" w:hAnsi="Century Gothic"/>
          <w:lang w:val="es-MX"/>
        </w:rPr>
        <w:t xml:space="preserve"> adulto mayor y a las personas con d</w:t>
      </w:r>
      <w:r w:rsidRPr="00DD2355">
        <w:rPr>
          <w:rFonts w:ascii="Century Gothic" w:hAnsi="Century Gothic"/>
          <w:lang w:val="es-MX"/>
        </w:rPr>
        <w:t>iscapacidad</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Bienestar familiar y c</w:t>
      </w:r>
      <w:r w:rsidR="00DD2355" w:rsidRPr="00DD2355">
        <w:rPr>
          <w:rFonts w:ascii="Century Gothic" w:hAnsi="Century Gothic"/>
          <w:lang w:val="es-MX"/>
        </w:rPr>
        <w:t>omunitario</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Protección a la infancia y a</w:t>
      </w:r>
      <w:r w:rsidR="00DD2355" w:rsidRPr="00DD2355">
        <w:rPr>
          <w:rFonts w:ascii="Century Gothic" w:hAnsi="Century Gothic"/>
          <w:lang w:val="es-MX"/>
        </w:rPr>
        <w:t>dolescencia</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Desarrollo integral de la j</w:t>
      </w:r>
      <w:r w:rsidR="00DD2355" w:rsidRPr="00DD2355">
        <w:rPr>
          <w:rFonts w:ascii="Century Gothic" w:hAnsi="Century Gothic"/>
          <w:lang w:val="es-MX"/>
        </w:rPr>
        <w:t>uventud</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t>Instituto de las Mujeres Regias</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Comunidades s</w:t>
      </w:r>
      <w:r w:rsidR="00DD2355" w:rsidRPr="00DD2355">
        <w:rPr>
          <w:rFonts w:ascii="Century Gothic" w:hAnsi="Century Gothic"/>
          <w:lang w:val="es-MX"/>
        </w:rPr>
        <w:t>aludables</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Fomento a la i</w:t>
      </w:r>
      <w:r w:rsidR="00DD2355" w:rsidRPr="00DD2355">
        <w:rPr>
          <w:rFonts w:ascii="Century Gothic" w:hAnsi="Century Gothic"/>
          <w:lang w:val="es-MX"/>
        </w:rPr>
        <w:t xml:space="preserve">nversión de </w:t>
      </w:r>
      <w:r>
        <w:rPr>
          <w:rFonts w:ascii="Century Gothic" w:hAnsi="Century Gothic"/>
          <w:lang w:val="es-MX"/>
        </w:rPr>
        <w:t>e</w:t>
      </w:r>
      <w:r w:rsidR="00DD2355" w:rsidRPr="00DD2355">
        <w:rPr>
          <w:rFonts w:ascii="Century Gothic" w:hAnsi="Century Gothic"/>
          <w:lang w:val="es-MX"/>
        </w:rPr>
        <w:t>mpresas</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t xml:space="preserve">Promoción e </w:t>
      </w:r>
      <w:r w:rsidR="00C12ABA">
        <w:rPr>
          <w:rFonts w:ascii="Century Gothic" w:hAnsi="Century Gothic"/>
          <w:lang w:val="es-MX"/>
        </w:rPr>
        <w:t>i</w:t>
      </w:r>
      <w:r w:rsidRPr="00DD2355">
        <w:rPr>
          <w:rFonts w:ascii="Century Gothic" w:hAnsi="Century Gothic"/>
          <w:lang w:val="es-MX"/>
        </w:rPr>
        <w:t xml:space="preserve">mpulso al </w:t>
      </w:r>
      <w:r w:rsidR="00C12ABA">
        <w:rPr>
          <w:rFonts w:ascii="Century Gothic" w:hAnsi="Century Gothic"/>
          <w:lang w:val="es-MX"/>
        </w:rPr>
        <w:t>e</w:t>
      </w:r>
      <w:r w:rsidRPr="00DD2355">
        <w:rPr>
          <w:rFonts w:ascii="Century Gothic" w:hAnsi="Century Gothic"/>
          <w:lang w:val="es-MX"/>
        </w:rPr>
        <w:t xml:space="preserve">mpleo y </w:t>
      </w:r>
      <w:r w:rsidR="00C12ABA">
        <w:rPr>
          <w:rFonts w:ascii="Century Gothic" w:hAnsi="Century Gothic"/>
          <w:lang w:val="es-MX"/>
        </w:rPr>
        <w:t>desarrollo e</w:t>
      </w:r>
      <w:r w:rsidRPr="00DD2355">
        <w:rPr>
          <w:rFonts w:ascii="Century Gothic" w:hAnsi="Century Gothic"/>
          <w:lang w:val="es-MX"/>
        </w:rPr>
        <w:t>mpresarial</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Promoción y fomento al t</w:t>
      </w:r>
      <w:r w:rsidR="00DD2355" w:rsidRPr="00DD2355">
        <w:rPr>
          <w:rFonts w:ascii="Century Gothic" w:hAnsi="Century Gothic"/>
          <w:lang w:val="es-MX"/>
        </w:rPr>
        <w:t>urismo</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lastRenderedPageBreak/>
        <w:t xml:space="preserve">Apoyo a </w:t>
      </w:r>
      <w:r w:rsidR="00C12ABA">
        <w:rPr>
          <w:rFonts w:ascii="Century Gothic" w:hAnsi="Century Gothic"/>
          <w:lang w:val="es-MX"/>
        </w:rPr>
        <w:t>m</w:t>
      </w:r>
      <w:r w:rsidRPr="00DD2355">
        <w:rPr>
          <w:rFonts w:ascii="Century Gothic" w:hAnsi="Century Gothic"/>
          <w:lang w:val="es-MX"/>
        </w:rPr>
        <w:t xml:space="preserve">icro, </w:t>
      </w:r>
      <w:r w:rsidR="00C12ABA">
        <w:rPr>
          <w:rFonts w:ascii="Century Gothic" w:hAnsi="Century Gothic"/>
          <w:lang w:val="es-MX"/>
        </w:rPr>
        <w:t>p</w:t>
      </w:r>
      <w:r w:rsidRPr="00DD2355">
        <w:rPr>
          <w:rFonts w:ascii="Century Gothic" w:hAnsi="Century Gothic"/>
          <w:lang w:val="es-MX"/>
        </w:rPr>
        <w:t xml:space="preserve">equeña y </w:t>
      </w:r>
      <w:r w:rsidR="00C12ABA">
        <w:rPr>
          <w:rFonts w:ascii="Century Gothic" w:hAnsi="Century Gothic"/>
          <w:lang w:val="es-MX"/>
        </w:rPr>
        <w:t>m</w:t>
      </w:r>
      <w:r w:rsidRPr="00DD2355">
        <w:rPr>
          <w:rFonts w:ascii="Century Gothic" w:hAnsi="Century Gothic"/>
          <w:lang w:val="es-MX"/>
        </w:rPr>
        <w:t xml:space="preserve">ediana </w:t>
      </w:r>
      <w:r w:rsidR="00C12ABA">
        <w:rPr>
          <w:rFonts w:ascii="Century Gothic" w:hAnsi="Century Gothic"/>
          <w:lang w:val="es-MX"/>
        </w:rPr>
        <w:t>e</w:t>
      </w:r>
      <w:r w:rsidRPr="00DD2355">
        <w:rPr>
          <w:rFonts w:ascii="Century Gothic" w:hAnsi="Century Gothic"/>
          <w:lang w:val="es-MX"/>
        </w:rPr>
        <w:t>mpresa</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Promoción de i</w:t>
      </w:r>
      <w:r w:rsidR="00DD2355" w:rsidRPr="00DD2355">
        <w:rPr>
          <w:rFonts w:ascii="Century Gothic" w:hAnsi="Century Gothic"/>
          <w:lang w:val="es-MX"/>
        </w:rPr>
        <w:t xml:space="preserve">nversiones y </w:t>
      </w:r>
      <w:r>
        <w:rPr>
          <w:rFonts w:ascii="Century Gothic" w:hAnsi="Century Gothic"/>
          <w:lang w:val="es-MX"/>
        </w:rPr>
        <w:t>e</w:t>
      </w:r>
      <w:r w:rsidR="00DD2355" w:rsidRPr="00DD2355">
        <w:rPr>
          <w:rFonts w:ascii="Century Gothic" w:hAnsi="Century Gothic"/>
          <w:lang w:val="es-MX"/>
        </w:rPr>
        <w:t>mpleo</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Promoción t</w:t>
      </w:r>
      <w:r w:rsidR="00DD2355" w:rsidRPr="00DD2355">
        <w:rPr>
          <w:rFonts w:ascii="Century Gothic" w:hAnsi="Century Gothic"/>
          <w:lang w:val="es-MX"/>
        </w:rPr>
        <w:t>urística</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t xml:space="preserve">Organización de la </w:t>
      </w:r>
      <w:r w:rsidR="00C12ABA">
        <w:rPr>
          <w:rFonts w:ascii="Century Gothic" w:hAnsi="Century Gothic"/>
          <w:lang w:val="es-MX"/>
        </w:rPr>
        <w:t>A</w:t>
      </w:r>
      <w:r w:rsidRPr="00DD2355">
        <w:rPr>
          <w:rFonts w:ascii="Century Gothic" w:hAnsi="Century Gothic"/>
          <w:lang w:val="es-MX"/>
        </w:rPr>
        <w:t>dministración Pública</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Espacios públicos de c</w:t>
      </w:r>
      <w:r w:rsidR="00DD2355" w:rsidRPr="00DD2355">
        <w:rPr>
          <w:rFonts w:ascii="Century Gothic" w:hAnsi="Century Gothic"/>
          <w:lang w:val="es-MX"/>
        </w:rPr>
        <w:t>alidad</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t>Planeaci</w:t>
      </w:r>
      <w:r w:rsidR="00C12ABA">
        <w:rPr>
          <w:rFonts w:ascii="Century Gothic" w:hAnsi="Century Gothic"/>
          <w:lang w:val="es-MX"/>
        </w:rPr>
        <w:t>ón u</w:t>
      </w:r>
      <w:r w:rsidRPr="00DD2355">
        <w:rPr>
          <w:rFonts w:ascii="Century Gothic" w:hAnsi="Century Gothic"/>
          <w:lang w:val="es-MX"/>
        </w:rPr>
        <w:t xml:space="preserve">rbana y </w:t>
      </w:r>
      <w:r w:rsidR="00C12ABA">
        <w:rPr>
          <w:rFonts w:ascii="Century Gothic" w:hAnsi="Century Gothic"/>
          <w:lang w:val="es-MX"/>
        </w:rPr>
        <w:t>g</w:t>
      </w:r>
      <w:r w:rsidRPr="00DD2355">
        <w:rPr>
          <w:rFonts w:ascii="Century Gothic" w:hAnsi="Century Gothic"/>
          <w:lang w:val="es-MX"/>
        </w:rPr>
        <w:t xml:space="preserve">estión </w:t>
      </w:r>
      <w:r w:rsidR="00C12ABA">
        <w:rPr>
          <w:rFonts w:ascii="Century Gothic" w:hAnsi="Century Gothic"/>
          <w:lang w:val="es-MX"/>
        </w:rPr>
        <w:t>e</w:t>
      </w:r>
      <w:r w:rsidRPr="00DD2355">
        <w:rPr>
          <w:rFonts w:ascii="Century Gothic" w:hAnsi="Century Gothic"/>
          <w:lang w:val="es-MX"/>
        </w:rPr>
        <w:t>stratégica</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Desarrollo orientado a la movilidad s</w:t>
      </w:r>
      <w:r w:rsidR="00DD2355" w:rsidRPr="00DD2355">
        <w:rPr>
          <w:rFonts w:ascii="Century Gothic" w:hAnsi="Century Gothic"/>
          <w:lang w:val="es-MX"/>
        </w:rPr>
        <w:t>ostenible</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Recuperación v</w:t>
      </w:r>
      <w:r w:rsidR="00DD2355" w:rsidRPr="00DD2355">
        <w:rPr>
          <w:rFonts w:ascii="Century Gothic" w:hAnsi="Century Gothic"/>
          <w:lang w:val="es-MX"/>
        </w:rPr>
        <w:t>erde</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Mantenimiento a la infraestructura v</w:t>
      </w:r>
      <w:r w:rsidR="00DD2355" w:rsidRPr="00DD2355">
        <w:rPr>
          <w:rFonts w:ascii="Century Gothic" w:hAnsi="Century Gothic"/>
          <w:lang w:val="es-MX"/>
        </w:rPr>
        <w:t>ial</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Promoción, p</w:t>
      </w:r>
      <w:r w:rsidR="00DD2355" w:rsidRPr="00DD2355">
        <w:rPr>
          <w:rFonts w:ascii="Century Gothic" w:hAnsi="Century Gothic"/>
          <w:lang w:val="es-MX"/>
        </w:rPr>
        <w:t xml:space="preserve">laneación y </w:t>
      </w:r>
      <w:r>
        <w:rPr>
          <w:rFonts w:ascii="Century Gothic" w:hAnsi="Century Gothic"/>
          <w:lang w:val="es-MX"/>
        </w:rPr>
        <w:t>s</w:t>
      </w:r>
      <w:r w:rsidR="00DD2355" w:rsidRPr="00DD2355">
        <w:rPr>
          <w:rFonts w:ascii="Century Gothic" w:hAnsi="Century Gothic"/>
          <w:lang w:val="es-MX"/>
        </w:rPr>
        <w:t>upervisión de obras públicas</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Gestión y operación de s</w:t>
      </w:r>
      <w:r w:rsidR="00DD2355" w:rsidRPr="00DD2355">
        <w:rPr>
          <w:rFonts w:ascii="Century Gothic" w:hAnsi="Century Gothic"/>
          <w:lang w:val="es-MX"/>
        </w:rPr>
        <w:t>ervicios</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Recuperación de e</w:t>
      </w:r>
      <w:r w:rsidR="00DD2355" w:rsidRPr="00DD2355">
        <w:rPr>
          <w:rFonts w:ascii="Century Gothic" w:hAnsi="Century Gothic"/>
          <w:lang w:val="es-MX"/>
        </w:rPr>
        <w:t xml:space="preserve">spacios </w:t>
      </w:r>
      <w:r>
        <w:rPr>
          <w:rFonts w:ascii="Century Gothic" w:hAnsi="Century Gothic"/>
          <w:lang w:val="es-MX"/>
        </w:rPr>
        <w:t>p</w:t>
      </w:r>
      <w:r w:rsidR="00DD2355" w:rsidRPr="00DD2355">
        <w:rPr>
          <w:rFonts w:ascii="Century Gothic" w:hAnsi="Century Gothic"/>
          <w:lang w:val="es-MX"/>
        </w:rPr>
        <w:t>úblicos</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t>Sistema integral de levantamiento y seguimiento a reportes</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t>Fideicomiso Distrito TEC</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t xml:space="preserve">Desarrollo </w:t>
      </w:r>
      <w:r w:rsidR="00C12ABA">
        <w:rPr>
          <w:rFonts w:ascii="Century Gothic" w:hAnsi="Century Gothic"/>
          <w:lang w:val="es-MX"/>
        </w:rPr>
        <w:t>integrado, c</w:t>
      </w:r>
      <w:r w:rsidRPr="00DD2355">
        <w:rPr>
          <w:rFonts w:ascii="Century Gothic" w:hAnsi="Century Gothic"/>
          <w:lang w:val="es-MX"/>
        </w:rPr>
        <w:t xml:space="preserve">ompacto y </w:t>
      </w:r>
      <w:r w:rsidR="00C12ABA">
        <w:rPr>
          <w:rFonts w:ascii="Century Gothic" w:hAnsi="Century Gothic"/>
          <w:lang w:val="es-MX"/>
        </w:rPr>
        <w:t>e</w:t>
      </w:r>
      <w:r w:rsidRPr="00DD2355">
        <w:rPr>
          <w:rFonts w:ascii="Century Gothic" w:hAnsi="Century Gothic"/>
          <w:lang w:val="es-MX"/>
        </w:rPr>
        <w:t>ficiente</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Difusión i</w:t>
      </w:r>
      <w:r w:rsidR="00DD2355" w:rsidRPr="00DD2355">
        <w:rPr>
          <w:rFonts w:ascii="Century Gothic" w:hAnsi="Century Gothic"/>
          <w:lang w:val="es-MX"/>
        </w:rPr>
        <w:t>nstitucional</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Capacitación y p</w:t>
      </w:r>
      <w:r w:rsidR="00DD2355" w:rsidRPr="00DD2355">
        <w:rPr>
          <w:rFonts w:ascii="Century Gothic" w:hAnsi="Century Gothic"/>
          <w:lang w:val="es-MX"/>
        </w:rPr>
        <w:t>rofesionalización</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t xml:space="preserve">Justicia </w:t>
      </w:r>
      <w:r w:rsidR="00C12ABA">
        <w:rPr>
          <w:rFonts w:ascii="Century Gothic" w:hAnsi="Century Gothic"/>
          <w:lang w:val="es-MX"/>
        </w:rPr>
        <w:t>m</w:t>
      </w:r>
      <w:r w:rsidRPr="00DD2355">
        <w:rPr>
          <w:rFonts w:ascii="Century Gothic" w:hAnsi="Century Gothic"/>
          <w:lang w:val="es-MX"/>
        </w:rPr>
        <w:t>unicipal</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t xml:space="preserve">Atención </w:t>
      </w:r>
      <w:r w:rsidR="00C12ABA">
        <w:rPr>
          <w:rFonts w:ascii="Century Gothic" w:hAnsi="Century Gothic"/>
          <w:lang w:val="es-MX"/>
        </w:rPr>
        <w:t>c</w:t>
      </w:r>
      <w:r w:rsidRPr="00DD2355">
        <w:rPr>
          <w:rFonts w:ascii="Century Gothic" w:hAnsi="Century Gothic"/>
          <w:lang w:val="es-MX"/>
        </w:rPr>
        <w:t>iudadana</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t>Planeación</w:t>
      </w:r>
      <w:r w:rsidR="00C12ABA">
        <w:rPr>
          <w:rFonts w:ascii="Century Gothic" w:hAnsi="Century Gothic"/>
          <w:lang w:val="es-MX"/>
        </w:rPr>
        <w:t xml:space="preserve"> y proyectos e</w:t>
      </w:r>
      <w:r w:rsidRPr="00DD2355">
        <w:rPr>
          <w:rFonts w:ascii="Century Gothic" w:hAnsi="Century Gothic"/>
          <w:lang w:val="es-MX"/>
        </w:rPr>
        <w:t>stratégicos</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Equipamiento de m</w:t>
      </w:r>
      <w:r w:rsidR="00DD2355" w:rsidRPr="00DD2355">
        <w:rPr>
          <w:rFonts w:ascii="Century Gothic" w:hAnsi="Century Gothic"/>
          <w:lang w:val="es-MX"/>
        </w:rPr>
        <w:t>obiliario y equipo para eventos y logística</w:t>
      </w:r>
    </w:p>
    <w:p w:rsidR="00DD2355"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Finanzas p</w:t>
      </w:r>
      <w:r w:rsidR="00DD2355" w:rsidRPr="00DD2355">
        <w:rPr>
          <w:rFonts w:ascii="Century Gothic" w:hAnsi="Century Gothic"/>
          <w:lang w:val="es-MX"/>
        </w:rPr>
        <w:t>úblicas</w:t>
      </w:r>
    </w:p>
    <w:p w:rsidR="00DD2355" w:rsidRPr="00DD2355" w:rsidRDefault="00DD2355" w:rsidP="00DD2355">
      <w:pPr>
        <w:pStyle w:val="Prrafodelista"/>
        <w:numPr>
          <w:ilvl w:val="0"/>
          <w:numId w:val="20"/>
        </w:numPr>
        <w:spacing w:line="360" w:lineRule="auto"/>
        <w:ind w:left="709" w:hanging="567"/>
        <w:jc w:val="both"/>
        <w:rPr>
          <w:rFonts w:ascii="Century Gothic" w:hAnsi="Century Gothic"/>
          <w:lang w:val="es-MX"/>
        </w:rPr>
      </w:pPr>
      <w:r w:rsidRPr="00DD2355">
        <w:rPr>
          <w:rFonts w:ascii="Century Gothic" w:hAnsi="Century Gothic"/>
          <w:lang w:val="es-MX"/>
        </w:rPr>
        <w:t>Servidores Públicos confiables</w:t>
      </w:r>
      <w:r>
        <w:rPr>
          <w:rFonts w:ascii="Century Gothic" w:hAnsi="Century Gothic"/>
          <w:lang w:val="es-MX"/>
        </w:rPr>
        <w:t xml:space="preserve"> y</w:t>
      </w:r>
      <w:r w:rsidR="00C12ABA">
        <w:rPr>
          <w:rFonts w:ascii="Century Gothic" w:hAnsi="Century Gothic"/>
          <w:lang w:val="es-MX"/>
        </w:rPr>
        <w:t>;</w:t>
      </w:r>
    </w:p>
    <w:p w:rsidR="00DE6A67" w:rsidRPr="00DD2355" w:rsidRDefault="00C12ABA" w:rsidP="00DD2355">
      <w:pPr>
        <w:pStyle w:val="Prrafodelista"/>
        <w:numPr>
          <w:ilvl w:val="0"/>
          <w:numId w:val="20"/>
        </w:numPr>
        <w:spacing w:line="360" w:lineRule="auto"/>
        <w:ind w:left="709" w:hanging="567"/>
        <w:jc w:val="both"/>
        <w:rPr>
          <w:rFonts w:ascii="Century Gothic" w:hAnsi="Century Gothic"/>
          <w:lang w:val="es-MX"/>
        </w:rPr>
      </w:pPr>
      <w:r>
        <w:rPr>
          <w:rFonts w:ascii="Century Gothic" w:hAnsi="Century Gothic"/>
          <w:lang w:val="es-MX"/>
        </w:rPr>
        <w:t>Sistemas informáticos y recursos t</w:t>
      </w:r>
      <w:r w:rsidR="00DD2355" w:rsidRPr="00DD2355">
        <w:rPr>
          <w:rFonts w:ascii="Century Gothic" w:hAnsi="Century Gothic"/>
          <w:lang w:val="es-MX"/>
        </w:rPr>
        <w:t>ecnológicos</w:t>
      </w:r>
      <w:r w:rsidR="00DD2355">
        <w:rPr>
          <w:rFonts w:ascii="Century Gothic" w:hAnsi="Century Gothic"/>
          <w:lang w:val="es-MX"/>
        </w:rPr>
        <w:t>.</w:t>
      </w:r>
    </w:p>
    <w:p w:rsidR="00DD2355" w:rsidRPr="00E574B6" w:rsidRDefault="00DD2355" w:rsidP="00DD2355">
      <w:pPr>
        <w:spacing w:line="360" w:lineRule="auto"/>
        <w:jc w:val="both"/>
        <w:rPr>
          <w:rFonts w:ascii="Century Gothic" w:hAnsi="Century Gothic"/>
          <w:lang w:val="es-MX"/>
        </w:rPr>
      </w:pPr>
    </w:p>
    <w:p w:rsidR="00E574B6" w:rsidRPr="00E574B6" w:rsidRDefault="00E574B6" w:rsidP="00E574B6">
      <w:pPr>
        <w:spacing w:line="360" w:lineRule="auto"/>
        <w:ind w:firstLine="720"/>
        <w:jc w:val="both"/>
        <w:rPr>
          <w:rFonts w:ascii="Century Gothic" w:hAnsi="Century Gothic"/>
          <w:lang w:val="es-MX"/>
        </w:rPr>
      </w:pPr>
      <w:r w:rsidRPr="00E574B6">
        <w:rPr>
          <w:rFonts w:ascii="Century Gothic" w:hAnsi="Century Gothic"/>
          <w:lang w:val="es-MX"/>
        </w:rPr>
        <w:t>Cabe destacar que</w:t>
      </w:r>
      <w:r w:rsidR="00C12ABA">
        <w:rPr>
          <w:rFonts w:ascii="Century Gothic" w:hAnsi="Century Gothic"/>
          <w:lang w:val="es-MX"/>
        </w:rPr>
        <w:t>,</w:t>
      </w:r>
      <w:r w:rsidRPr="00E574B6">
        <w:rPr>
          <w:rFonts w:ascii="Century Gothic" w:hAnsi="Century Gothic"/>
          <w:lang w:val="es-MX"/>
        </w:rPr>
        <w:t xml:space="preserve"> </w:t>
      </w:r>
      <w:r w:rsidR="00C12ABA">
        <w:rPr>
          <w:rFonts w:ascii="Century Gothic" w:hAnsi="Century Gothic"/>
          <w:lang w:val="es-MX"/>
        </w:rPr>
        <w:t>como prevé la Ley de Gobierno Municipal</w:t>
      </w:r>
      <w:r w:rsidR="001205D7">
        <w:rPr>
          <w:rFonts w:ascii="Century Gothic" w:hAnsi="Century Gothic"/>
          <w:lang w:val="es-MX"/>
        </w:rPr>
        <w:t xml:space="preserve"> del Estado de Nuevo León</w:t>
      </w:r>
      <w:r w:rsidR="00C12ABA">
        <w:rPr>
          <w:rFonts w:ascii="Century Gothic" w:hAnsi="Century Gothic"/>
          <w:lang w:val="es-MX"/>
        </w:rPr>
        <w:t>,</w:t>
      </w:r>
      <w:r w:rsidRPr="00E574B6">
        <w:rPr>
          <w:rFonts w:ascii="Century Gothic" w:hAnsi="Century Gothic"/>
          <w:lang w:val="es-MX"/>
        </w:rPr>
        <w:t xml:space="preserve"> se sigue trabajando en la planeación que regirá la administración municipal 2021-2024</w:t>
      </w:r>
      <w:r w:rsidR="001205D7">
        <w:rPr>
          <w:rFonts w:ascii="Century Gothic" w:hAnsi="Century Gothic"/>
          <w:lang w:val="es-MX"/>
        </w:rPr>
        <w:t>,</w:t>
      </w:r>
      <w:r w:rsidRPr="00E574B6">
        <w:rPr>
          <w:rFonts w:ascii="Century Gothic" w:hAnsi="Century Gothic"/>
          <w:lang w:val="es-MX"/>
        </w:rPr>
        <w:t xml:space="preserve"> de conformidad con los términos y </w:t>
      </w:r>
      <w:r w:rsidRPr="00E574B6">
        <w:rPr>
          <w:rFonts w:ascii="Century Gothic" w:hAnsi="Century Gothic"/>
          <w:lang w:val="es-MX"/>
        </w:rPr>
        <w:lastRenderedPageBreak/>
        <w:t xml:space="preserve">plazos legalmente </w:t>
      </w:r>
      <w:r w:rsidR="00C12ABA">
        <w:rPr>
          <w:rFonts w:ascii="Century Gothic" w:hAnsi="Century Gothic"/>
          <w:lang w:val="es-MX"/>
        </w:rPr>
        <w:t>establecidos.</w:t>
      </w:r>
      <w:r w:rsidR="001205D7">
        <w:rPr>
          <w:rFonts w:ascii="Century Gothic" w:hAnsi="Century Gothic"/>
          <w:lang w:val="es-MX"/>
        </w:rPr>
        <w:t xml:space="preserve"> No obstante, se prevé</w:t>
      </w:r>
      <w:r w:rsidRPr="00E574B6">
        <w:rPr>
          <w:rFonts w:ascii="Century Gothic" w:hAnsi="Century Gothic"/>
          <w:lang w:val="es-MX"/>
        </w:rPr>
        <w:t xml:space="preserve"> trabajar con los programas presupuestarios </w:t>
      </w:r>
      <w:r w:rsidR="001205D7">
        <w:rPr>
          <w:rFonts w:ascii="Century Gothic" w:hAnsi="Century Gothic"/>
          <w:lang w:val="es-MX"/>
        </w:rPr>
        <w:t>aquí</w:t>
      </w:r>
      <w:r w:rsidRPr="00E574B6">
        <w:rPr>
          <w:rFonts w:ascii="Century Gothic" w:hAnsi="Century Gothic"/>
          <w:lang w:val="es-MX"/>
        </w:rPr>
        <w:t xml:space="preserve"> señalados, los c</w:t>
      </w:r>
      <w:r w:rsidR="001205D7">
        <w:rPr>
          <w:rFonts w:ascii="Century Gothic" w:hAnsi="Century Gothic"/>
          <w:lang w:val="es-MX"/>
        </w:rPr>
        <w:t xml:space="preserve">uales estarán sujetos a desarrollo y ajustes derivados del proceso de planeación. </w:t>
      </w:r>
    </w:p>
    <w:p w:rsidR="00E574B6" w:rsidRDefault="00E574B6" w:rsidP="00AB761B">
      <w:pPr>
        <w:spacing w:line="360" w:lineRule="auto"/>
        <w:jc w:val="both"/>
        <w:rPr>
          <w:rFonts w:ascii="Century Gothic" w:hAnsi="Century Gothic"/>
          <w:strike/>
          <w:lang w:val="es-MX"/>
        </w:rPr>
      </w:pPr>
    </w:p>
    <w:p w:rsidR="00E877D0" w:rsidRPr="0050035B" w:rsidRDefault="00E17F3E" w:rsidP="00A02027">
      <w:pPr>
        <w:spacing w:line="360" w:lineRule="auto"/>
        <w:jc w:val="both"/>
        <w:rPr>
          <w:rFonts w:ascii="Century Gothic" w:hAnsi="Century Gothic"/>
          <w:lang w:val="es-MX"/>
        </w:rPr>
      </w:pPr>
      <w:r w:rsidRPr="0050035B">
        <w:rPr>
          <w:rFonts w:ascii="Century Gothic" w:hAnsi="Century Gothic"/>
          <w:b/>
          <w:lang w:val="es-MX"/>
        </w:rPr>
        <w:t>2.2.3</w:t>
      </w:r>
      <w:r w:rsidR="008F203D" w:rsidRPr="0050035B">
        <w:rPr>
          <w:rFonts w:ascii="Century Gothic" w:hAnsi="Century Gothic"/>
          <w:b/>
          <w:lang w:val="es-MX"/>
        </w:rPr>
        <w:t xml:space="preserve"> Acciones y Estrategias para f</w:t>
      </w:r>
      <w:r w:rsidR="00BA77D0" w:rsidRPr="0050035B">
        <w:rPr>
          <w:rFonts w:ascii="Century Gothic" w:hAnsi="Century Gothic"/>
          <w:b/>
          <w:lang w:val="es-MX"/>
        </w:rPr>
        <w:t xml:space="preserve">ortalecer la Hacienda Pública </w:t>
      </w:r>
      <w:r w:rsidR="008F203D" w:rsidRPr="0050035B">
        <w:rPr>
          <w:rFonts w:ascii="Century Gothic" w:hAnsi="Century Gothic"/>
          <w:b/>
          <w:lang w:val="es-MX"/>
        </w:rPr>
        <w:t>Municipal</w:t>
      </w:r>
    </w:p>
    <w:p w:rsidR="00274E81" w:rsidRPr="0050035B" w:rsidRDefault="00274E81" w:rsidP="00FF3744">
      <w:pPr>
        <w:spacing w:line="360" w:lineRule="auto"/>
        <w:jc w:val="both"/>
        <w:rPr>
          <w:rFonts w:ascii="Century Gothic" w:hAnsi="Century Gothic"/>
          <w:lang w:val="es-MX"/>
        </w:rPr>
      </w:pPr>
      <w:r w:rsidRPr="0050035B">
        <w:rPr>
          <w:rFonts w:ascii="Century Gothic" w:hAnsi="Century Gothic"/>
          <w:lang w:val="es-MX"/>
        </w:rPr>
        <w:t xml:space="preserve">Una </w:t>
      </w:r>
      <w:r w:rsidR="00A206B0" w:rsidRPr="0050035B">
        <w:rPr>
          <w:rFonts w:ascii="Century Gothic" w:hAnsi="Century Gothic"/>
          <w:lang w:val="es-MX"/>
        </w:rPr>
        <w:t>correcta administración</w:t>
      </w:r>
      <w:r w:rsidRPr="0050035B">
        <w:rPr>
          <w:rFonts w:ascii="Century Gothic" w:hAnsi="Century Gothic"/>
          <w:lang w:val="es-MX"/>
        </w:rPr>
        <w:t xml:space="preserve"> financiera permitirá</w:t>
      </w:r>
      <w:r w:rsidR="00A206B0" w:rsidRPr="0050035B">
        <w:rPr>
          <w:rFonts w:ascii="Century Gothic" w:hAnsi="Century Gothic"/>
          <w:lang w:val="es-MX"/>
        </w:rPr>
        <w:t xml:space="preserve"> a la</w:t>
      </w:r>
      <w:r w:rsidR="00F470D9">
        <w:rPr>
          <w:rFonts w:ascii="Century Gothic" w:hAnsi="Century Gothic"/>
          <w:lang w:val="es-MX"/>
        </w:rPr>
        <w:t xml:space="preserve"> Hacienda P</w:t>
      </w:r>
      <w:r w:rsidRPr="0050035B">
        <w:rPr>
          <w:rFonts w:ascii="Century Gothic" w:hAnsi="Century Gothic"/>
          <w:lang w:val="es-MX"/>
        </w:rPr>
        <w:t xml:space="preserve">ública contar con una administración </w:t>
      </w:r>
      <w:r w:rsidR="000A7F1A" w:rsidRPr="0050035B">
        <w:rPr>
          <w:rFonts w:ascii="Century Gothic" w:hAnsi="Century Gothic"/>
          <w:lang w:val="es-MX"/>
        </w:rPr>
        <w:t>más</w:t>
      </w:r>
      <w:r w:rsidRPr="0050035B">
        <w:rPr>
          <w:rFonts w:ascii="Century Gothic" w:hAnsi="Century Gothic"/>
          <w:lang w:val="es-MX"/>
        </w:rPr>
        <w:t xml:space="preserve"> eficiente, por lo cual el </w:t>
      </w:r>
      <w:r w:rsidR="000A7F1A" w:rsidRPr="0050035B">
        <w:rPr>
          <w:rFonts w:ascii="Century Gothic" w:hAnsi="Century Gothic"/>
          <w:lang w:val="es-MX"/>
        </w:rPr>
        <w:t>trabajo</w:t>
      </w:r>
      <w:r w:rsidRPr="0050035B">
        <w:rPr>
          <w:rFonts w:ascii="Century Gothic" w:hAnsi="Century Gothic"/>
          <w:lang w:val="es-MX"/>
        </w:rPr>
        <w:t xml:space="preserve"> de la Tesorería Municipal</w:t>
      </w:r>
      <w:r w:rsidR="00F45BF2" w:rsidRPr="0050035B">
        <w:rPr>
          <w:rFonts w:ascii="Century Gothic" w:hAnsi="Century Gothic"/>
          <w:lang w:val="es-MX"/>
        </w:rPr>
        <w:t xml:space="preserve"> y las Direcciones que la integran</w:t>
      </w:r>
      <w:r w:rsidRPr="0050035B">
        <w:rPr>
          <w:rFonts w:ascii="Century Gothic" w:hAnsi="Century Gothic"/>
          <w:lang w:val="es-MX"/>
        </w:rPr>
        <w:t xml:space="preserve"> resulta fundamental</w:t>
      </w:r>
      <w:r w:rsidR="000A7F1A" w:rsidRPr="0050035B">
        <w:rPr>
          <w:rFonts w:ascii="Century Gothic" w:hAnsi="Century Gothic"/>
          <w:lang w:val="es-MX"/>
        </w:rPr>
        <w:t xml:space="preserve">, para el correcto desarrollo de las diversas políticas, proyectos y acciones </w:t>
      </w:r>
      <w:r w:rsidR="00A206B0" w:rsidRPr="0050035B">
        <w:rPr>
          <w:rFonts w:ascii="Century Gothic" w:hAnsi="Century Gothic"/>
          <w:lang w:val="es-MX"/>
        </w:rPr>
        <w:t>del gobierno municipal</w:t>
      </w:r>
      <w:r w:rsidR="000A7F1A" w:rsidRPr="0050035B">
        <w:rPr>
          <w:rFonts w:ascii="Century Gothic" w:hAnsi="Century Gothic"/>
          <w:lang w:val="es-MX"/>
        </w:rPr>
        <w:t>.</w:t>
      </w:r>
    </w:p>
    <w:p w:rsidR="000A7F1A" w:rsidRPr="0050035B" w:rsidRDefault="000A7F1A" w:rsidP="00203DE7">
      <w:pPr>
        <w:spacing w:line="360" w:lineRule="auto"/>
        <w:ind w:firstLine="720"/>
        <w:jc w:val="both"/>
        <w:rPr>
          <w:rFonts w:ascii="Century Gothic" w:hAnsi="Century Gothic"/>
          <w:lang w:val="es-MX"/>
        </w:rPr>
      </w:pPr>
      <w:r w:rsidRPr="0050035B">
        <w:rPr>
          <w:rFonts w:ascii="Century Gothic" w:hAnsi="Century Gothic"/>
          <w:lang w:val="es-MX"/>
        </w:rPr>
        <w:t xml:space="preserve"> </w:t>
      </w:r>
    </w:p>
    <w:p w:rsidR="0050035B" w:rsidRDefault="0050035B" w:rsidP="0050035B">
      <w:pPr>
        <w:spacing w:line="360" w:lineRule="auto"/>
        <w:ind w:firstLine="720"/>
        <w:jc w:val="both"/>
        <w:rPr>
          <w:rFonts w:ascii="Century Gothic" w:hAnsi="Century Gothic"/>
        </w:rPr>
      </w:pPr>
      <w:r w:rsidRPr="009D1D06">
        <w:rPr>
          <w:rFonts w:ascii="Century Gothic" w:hAnsi="Century Gothic"/>
        </w:rPr>
        <w:t xml:space="preserve">Gracias al mejoramiento de sistemas como la implementación de un nuevo Sistema de Administración Gubernamental, una cartografía municipal propia, un sistemático método de cobranza, así como el mejoramiento de los puntos de recaudación, el otorgamiento de Tarifa Única Especial (TUE) y la implementación del programa de predial en tu colonia, Monterrey es líder nacional de recaudación de impuesto predial. </w:t>
      </w:r>
    </w:p>
    <w:p w:rsidR="0050035B" w:rsidRDefault="0050035B" w:rsidP="0050035B">
      <w:pPr>
        <w:spacing w:line="360" w:lineRule="auto"/>
        <w:ind w:firstLine="720"/>
        <w:jc w:val="both"/>
        <w:rPr>
          <w:rFonts w:ascii="Century Gothic" w:hAnsi="Century Gothic"/>
        </w:rPr>
      </w:pPr>
    </w:p>
    <w:p w:rsidR="0050035B" w:rsidRDefault="0050035B" w:rsidP="0050035B">
      <w:pPr>
        <w:spacing w:line="360" w:lineRule="auto"/>
        <w:ind w:firstLine="720"/>
        <w:jc w:val="both"/>
        <w:rPr>
          <w:rFonts w:ascii="Century Gothic" w:hAnsi="Century Gothic"/>
        </w:rPr>
      </w:pPr>
      <w:r w:rsidRPr="009D1D06">
        <w:rPr>
          <w:rFonts w:ascii="Century Gothic" w:hAnsi="Century Gothic"/>
        </w:rPr>
        <w:t xml:space="preserve">Según datos del INEGI, Monterrey es el </w:t>
      </w:r>
      <w:r w:rsidR="00786E93">
        <w:rPr>
          <w:rFonts w:ascii="Century Gothic" w:hAnsi="Century Gothic"/>
        </w:rPr>
        <w:t xml:space="preserve">Municipio </w:t>
      </w:r>
      <w:r w:rsidRPr="009D1D06">
        <w:rPr>
          <w:rFonts w:ascii="Century Gothic" w:hAnsi="Century Gothic"/>
        </w:rPr>
        <w:t>de la República Mexicana que más dinero recaudó por este concepto en el 2017, 2018, y 2019; para el 2019 el crecimiento de la recaudación del Impuesto Predial alcanzó la cifra de mil 225 millones de pesos, es decir, un incremento de 3.35</w:t>
      </w:r>
      <w:r w:rsidR="006E5EE7">
        <w:rPr>
          <w:rFonts w:ascii="Century Gothic" w:hAnsi="Century Gothic"/>
        </w:rPr>
        <w:t>%</w:t>
      </w:r>
      <w:r w:rsidRPr="009D1D06">
        <w:rPr>
          <w:rFonts w:ascii="Century Gothic" w:hAnsi="Century Gothic"/>
        </w:rPr>
        <w:t xml:space="preserve"> con respecto al año anterior; para el 2020 a pesar de la pandemia del </w:t>
      </w:r>
      <w:r w:rsidR="00C17543">
        <w:rPr>
          <w:rFonts w:ascii="Century Gothic" w:hAnsi="Century Gothic"/>
          <w:lang w:val="es-MX"/>
        </w:rPr>
        <w:t>virus SARS-CoV2 (COVID-19)</w:t>
      </w:r>
      <w:r w:rsidRPr="009D1D06">
        <w:rPr>
          <w:rFonts w:ascii="Century Gothic" w:hAnsi="Century Gothic"/>
        </w:rPr>
        <w:t xml:space="preserve">, Monterrey tuvo el segundo mejor ingreso respecto a años anteriores; esto permite que el </w:t>
      </w:r>
      <w:r w:rsidR="00786E93">
        <w:rPr>
          <w:rFonts w:ascii="Century Gothic" w:hAnsi="Century Gothic"/>
        </w:rPr>
        <w:t xml:space="preserve">Municipio </w:t>
      </w:r>
      <w:r w:rsidRPr="009D1D06">
        <w:rPr>
          <w:rFonts w:ascii="Century Gothic" w:hAnsi="Century Gothic"/>
        </w:rPr>
        <w:t xml:space="preserve">de Monterrey continúe siendo líder nacional logrando a la vez, ser un </w:t>
      </w:r>
      <w:r w:rsidR="00786E93">
        <w:rPr>
          <w:rFonts w:ascii="Century Gothic" w:hAnsi="Century Gothic"/>
        </w:rPr>
        <w:t xml:space="preserve">Municipio </w:t>
      </w:r>
      <w:r w:rsidR="00DE6A67">
        <w:rPr>
          <w:rFonts w:ascii="Century Gothic" w:hAnsi="Century Gothic"/>
        </w:rPr>
        <w:t>con una óptima gestión financiera que favorece</w:t>
      </w:r>
      <w:r w:rsidRPr="009D1D06">
        <w:rPr>
          <w:rFonts w:ascii="Century Gothic" w:hAnsi="Century Gothic"/>
        </w:rPr>
        <w:t xml:space="preserve"> el desarrollo de programas y proyectos para el beneficio de sus habitantes.</w:t>
      </w:r>
    </w:p>
    <w:p w:rsidR="0050035B" w:rsidRDefault="0050035B" w:rsidP="0050035B">
      <w:pPr>
        <w:spacing w:line="360" w:lineRule="auto"/>
        <w:ind w:firstLine="720"/>
        <w:jc w:val="both"/>
        <w:rPr>
          <w:rFonts w:ascii="Century Gothic" w:hAnsi="Century Gothic"/>
        </w:rPr>
      </w:pPr>
    </w:p>
    <w:p w:rsidR="0050035B" w:rsidRDefault="0050035B" w:rsidP="0050035B">
      <w:pPr>
        <w:spacing w:line="360" w:lineRule="auto"/>
        <w:ind w:firstLine="720"/>
        <w:jc w:val="both"/>
        <w:rPr>
          <w:rFonts w:ascii="Century Gothic" w:hAnsi="Century Gothic"/>
        </w:rPr>
      </w:pPr>
      <w:r w:rsidRPr="009D1D06">
        <w:rPr>
          <w:rFonts w:ascii="Century Gothic" w:hAnsi="Century Gothic"/>
        </w:rPr>
        <w:t xml:space="preserve"> De acuerdo al Sistema de Alertas de la </w:t>
      </w:r>
      <w:r w:rsidR="006E5EE7" w:rsidRPr="0040665F">
        <w:rPr>
          <w:rFonts w:ascii="Century Gothic" w:hAnsi="Century Gothic"/>
        </w:rPr>
        <w:t>SHCP</w:t>
      </w:r>
      <w:r w:rsidRPr="0040665F">
        <w:rPr>
          <w:rFonts w:ascii="Century Gothic" w:hAnsi="Century Gothic"/>
        </w:rPr>
        <w:t>, Monterrey está en</w:t>
      </w:r>
      <w:r w:rsidRPr="009D1D06">
        <w:rPr>
          <w:rFonts w:ascii="Century Gothic" w:hAnsi="Century Gothic"/>
        </w:rPr>
        <w:t xml:space="preserve"> semáforo en verde en los siguientes indicadores: Deuda Pública y Obligaciones sobre Ingresos de Libre Disposición, Servicio de la Deuda y de Obligaciones sobre Ingresos de Libre Disposición y Obligaciones a Corto Plazo y Proveedores y Contratistas sobre Ingresos Totales.</w:t>
      </w:r>
    </w:p>
    <w:p w:rsidR="0050035B" w:rsidRDefault="0050035B" w:rsidP="0050035B">
      <w:pPr>
        <w:spacing w:line="360" w:lineRule="auto"/>
        <w:ind w:firstLine="720"/>
        <w:jc w:val="both"/>
        <w:rPr>
          <w:rFonts w:ascii="Century Gothic" w:hAnsi="Century Gothic"/>
        </w:rPr>
      </w:pPr>
    </w:p>
    <w:p w:rsidR="0050035B" w:rsidRDefault="0050035B" w:rsidP="0050035B">
      <w:pPr>
        <w:spacing w:line="360" w:lineRule="auto"/>
        <w:ind w:firstLine="720"/>
        <w:jc w:val="both"/>
        <w:rPr>
          <w:rFonts w:ascii="Century Gothic" w:hAnsi="Century Gothic"/>
        </w:rPr>
      </w:pPr>
      <w:r w:rsidRPr="009D1D06">
        <w:rPr>
          <w:rFonts w:ascii="Century Gothic" w:hAnsi="Century Gothic"/>
        </w:rPr>
        <w:t xml:space="preserve"> El </w:t>
      </w:r>
      <w:r w:rsidR="00786E93">
        <w:rPr>
          <w:rFonts w:ascii="Century Gothic" w:hAnsi="Century Gothic"/>
        </w:rPr>
        <w:t xml:space="preserve">Municipio </w:t>
      </w:r>
      <w:r w:rsidRPr="009D1D06">
        <w:rPr>
          <w:rFonts w:ascii="Century Gothic" w:hAnsi="Century Gothic"/>
        </w:rPr>
        <w:t xml:space="preserve">de Monterrey a pesar de los efectos económicos ocasionados por la crisis sanitaria, y el gasto proactivo dirigido al embate a la pandemia durante 2020, en febrero de 2021 ha ratificado la calificación de AA con perspectiva positiva por la Agencia Internacional Standard and Poor’s siendo la única ciudad en la República Mexicana en calificar una perspectiva positiva de largo plazo por dicha agencia. </w:t>
      </w:r>
    </w:p>
    <w:p w:rsidR="008D7D5A" w:rsidRDefault="008D7D5A" w:rsidP="0050035B">
      <w:pPr>
        <w:spacing w:line="360" w:lineRule="auto"/>
        <w:ind w:firstLine="720"/>
        <w:jc w:val="both"/>
        <w:rPr>
          <w:rFonts w:ascii="Century Gothic" w:hAnsi="Century Gothic"/>
        </w:rPr>
      </w:pPr>
    </w:p>
    <w:p w:rsidR="0050035B" w:rsidRDefault="0050035B" w:rsidP="0050035B">
      <w:pPr>
        <w:spacing w:line="360" w:lineRule="auto"/>
        <w:ind w:firstLine="720"/>
        <w:jc w:val="both"/>
        <w:rPr>
          <w:rFonts w:ascii="Century Gothic" w:hAnsi="Century Gothic"/>
        </w:rPr>
      </w:pPr>
      <w:r w:rsidRPr="009D1D06">
        <w:rPr>
          <w:rFonts w:ascii="Century Gothic" w:hAnsi="Century Gothic"/>
        </w:rPr>
        <w:t xml:space="preserve">Complementariamente, en marzo de 2021 la agencia calificadora HR Ratings determinó la calificación del </w:t>
      </w:r>
      <w:r w:rsidR="00786E93">
        <w:rPr>
          <w:rFonts w:ascii="Century Gothic" w:hAnsi="Century Gothic"/>
        </w:rPr>
        <w:t xml:space="preserve">Municipio </w:t>
      </w:r>
      <w:r w:rsidRPr="009D1D06">
        <w:rPr>
          <w:rFonts w:ascii="Century Gothic" w:hAnsi="Century Gothic"/>
        </w:rPr>
        <w:t xml:space="preserve">de Monterrey a HR AA, destacando que el </w:t>
      </w:r>
      <w:r w:rsidR="00786E93">
        <w:rPr>
          <w:rFonts w:ascii="Century Gothic" w:hAnsi="Century Gothic"/>
        </w:rPr>
        <w:t xml:space="preserve">Municipio </w:t>
      </w:r>
      <w:r w:rsidRPr="009D1D06">
        <w:rPr>
          <w:rFonts w:ascii="Century Gothic" w:hAnsi="Century Gothic"/>
        </w:rPr>
        <w:t xml:space="preserve">logró superar las expectativas en los niveles de liquidez y tras mantener un adecuado desempeño, logró un nivel de endeudamiento inferior de acuerdo con sus proyecciones. </w:t>
      </w:r>
    </w:p>
    <w:p w:rsidR="0050035B" w:rsidRDefault="0050035B" w:rsidP="0050035B">
      <w:pPr>
        <w:spacing w:line="360" w:lineRule="auto"/>
        <w:ind w:firstLine="720"/>
        <w:jc w:val="both"/>
        <w:rPr>
          <w:rFonts w:ascii="Century Gothic" w:hAnsi="Century Gothic"/>
        </w:rPr>
      </w:pPr>
    </w:p>
    <w:p w:rsidR="0050035B" w:rsidRDefault="0050035B" w:rsidP="0050035B">
      <w:pPr>
        <w:spacing w:line="360" w:lineRule="auto"/>
        <w:ind w:firstLine="720"/>
        <w:jc w:val="both"/>
        <w:rPr>
          <w:rFonts w:ascii="Century Gothic" w:hAnsi="Century Gothic"/>
        </w:rPr>
      </w:pPr>
      <w:r w:rsidRPr="009D1D06">
        <w:rPr>
          <w:rFonts w:ascii="Century Gothic" w:hAnsi="Century Gothic"/>
        </w:rPr>
        <w:t xml:space="preserve">Actualmente el </w:t>
      </w:r>
      <w:r w:rsidR="00786E93">
        <w:rPr>
          <w:rFonts w:ascii="Century Gothic" w:hAnsi="Century Gothic"/>
        </w:rPr>
        <w:t xml:space="preserve">Municipio </w:t>
      </w:r>
      <w:r w:rsidRPr="009D1D06">
        <w:rPr>
          <w:rFonts w:ascii="Century Gothic" w:hAnsi="Century Gothic"/>
        </w:rPr>
        <w:t xml:space="preserve">de Monterrey cuenta con el grado más alto de calificación en su estructura de deuda crediticia, manteniendo el mínimo riesgo crediticio y ofreciendo gran seguridad para el pago oportuno de las obligaciones de su deuda. Lo anterior se traduce en mejores condiciones de financiamiento, menor pago </w:t>
      </w:r>
      <w:r w:rsidR="006E5EE7">
        <w:rPr>
          <w:rFonts w:ascii="Century Gothic" w:hAnsi="Century Gothic"/>
        </w:rPr>
        <w:t>de intereses de la deuda actual</w:t>
      </w:r>
      <w:r w:rsidRPr="009D1D06">
        <w:rPr>
          <w:rFonts w:ascii="Century Gothic" w:hAnsi="Century Gothic"/>
        </w:rPr>
        <w:t xml:space="preserve"> y en ahorro de recursos que pueden ser utilizados en proyectos prioritarios. </w:t>
      </w:r>
    </w:p>
    <w:p w:rsidR="0050035B" w:rsidRDefault="0050035B" w:rsidP="0050035B">
      <w:pPr>
        <w:spacing w:line="360" w:lineRule="auto"/>
        <w:ind w:firstLine="720"/>
        <w:jc w:val="both"/>
        <w:rPr>
          <w:rFonts w:ascii="Century Gothic" w:hAnsi="Century Gothic"/>
        </w:rPr>
      </w:pPr>
    </w:p>
    <w:p w:rsidR="0050035B" w:rsidRDefault="0050035B" w:rsidP="0050035B">
      <w:pPr>
        <w:spacing w:line="360" w:lineRule="auto"/>
        <w:ind w:firstLine="720"/>
        <w:jc w:val="both"/>
        <w:rPr>
          <w:rFonts w:ascii="Century Gothic" w:hAnsi="Century Gothic"/>
        </w:rPr>
      </w:pPr>
      <w:r>
        <w:rPr>
          <w:rFonts w:ascii="Century Gothic" w:hAnsi="Century Gothic"/>
        </w:rPr>
        <w:lastRenderedPageBreak/>
        <w:t>S</w:t>
      </w:r>
      <w:r w:rsidRPr="009D1D06">
        <w:rPr>
          <w:rFonts w:ascii="Century Gothic" w:hAnsi="Century Gothic"/>
        </w:rPr>
        <w:t xml:space="preserve">e lleva a cabo la implementación de la Guía Consultiva de Desempeño Municipal del Instituto Nacional para el Federalismo y el Desarrollo Municipal (INAFED) en conjunto con la Coordinación de Desarrollo y Fortalecimiento Municipal de la Secretaría General de Gobierno del Estado de Nuevo León, con el propósito de contribuir al fortalecimiento de los criterios para la adecuada toma de decisiones en el </w:t>
      </w:r>
      <w:r w:rsidR="00786E93">
        <w:rPr>
          <w:rFonts w:ascii="Century Gothic" w:hAnsi="Century Gothic"/>
        </w:rPr>
        <w:t xml:space="preserve">Municipio </w:t>
      </w:r>
      <w:r w:rsidRPr="009D1D06">
        <w:rPr>
          <w:rFonts w:ascii="Century Gothic" w:hAnsi="Century Gothic"/>
        </w:rPr>
        <w:t xml:space="preserve">y como herramienta para la gestión administrativa; Monterrey fue el </w:t>
      </w:r>
      <w:r w:rsidR="00786E93">
        <w:rPr>
          <w:rFonts w:ascii="Century Gothic" w:hAnsi="Century Gothic"/>
        </w:rPr>
        <w:t xml:space="preserve">Municipio </w:t>
      </w:r>
      <w:r w:rsidRPr="009D1D06">
        <w:rPr>
          <w:rFonts w:ascii="Century Gothic" w:hAnsi="Century Gothic"/>
        </w:rPr>
        <w:t xml:space="preserve">con mayor calificación en Nuevo León en las evaluaciones 2019 y 2020, esperando que por tercer año consecutivo se pueda lograr el mismo resultado, sin embargo, aún se encuentran pendientes por conocer los resultados globales de la participación 2021. </w:t>
      </w:r>
    </w:p>
    <w:p w:rsidR="005E2860" w:rsidRDefault="005E2860" w:rsidP="0050035B">
      <w:pPr>
        <w:spacing w:line="360" w:lineRule="auto"/>
        <w:ind w:firstLine="720"/>
        <w:jc w:val="both"/>
        <w:rPr>
          <w:rFonts w:ascii="Century Gothic" w:hAnsi="Century Gothic"/>
        </w:rPr>
      </w:pPr>
    </w:p>
    <w:p w:rsidR="0050035B" w:rsidRDefault="0050035B" w:rsidP="0050035B">
      <w:pPr>
        <w:spacing w:line="360" w:lineRule="auto"/>
        <w:ind w:firstLine="720"/>
        <w:jc w:val="both"/>
        <w:rPr>
          <w:rFonts w:ascii="Century Gothic" w:hAnsi="Century Gothic"/>
        </w:rPr>
      </w:pPr>
      <w:r w:rsidRPr="009D1D06">
        <w:rPr>
          <w:rFonts w:ascii="Century Gothic" w:hAnsi="Century Gothic"/>
        </w:rPr>
        <w:t xml:space="preserve">Monterrey es el cuarto </w:t>
      </w:r>
      <w:r w:rsidR="00786E93">
        <w:rPr>
          <w:rFonts w:ascii="Century Gothic" w:hAnsi="Century Gothic"/>
        </w:rPr>
        <w:t xml:space="preserve">Municipio </w:t>
      </w:r>
      <w:r w:rsidRPr="009D1D06">
        <w:rPr>
          <w:rFonts w:ascii="Century Gothic" w:hAnsi="Century Gothic"/>
        </w:rPr>
        <w:t xml:space="preserve">más alto a nivel nacional en materia de planeación con 87.5% (2021) de avance </w:t>
      </w:r>
      <w:r w:rsidR="005E2860" w:rsidRPr="009D1D06">
        <w:rPr>
          <w:rFonts w:ascii="Century Gothic" w:hAnsi="Century Gothic"/>
        </w:rPr>
        <w:t>de acuerdo con el</w:t>
      </w:r>
      <w:r w:rsidRPr="009D1D06">
        <w:rPr>
          <w:rFonts w:ascii="Century Gothic" w:hAnsi="Century Gothic"/>
        </w:rPr>
        <w:t xml:space="preserve"> Índice General de Avance del Presupuesto basado en Resultados y Sistema de Evaluación del Desempeño (PbR-SED) de la SHCP.</w:t>
      </w:r>
    </w:p>
    <w:p w:rsidR="0050035B" w:rsidRDefault="0050035B" w:rsidP="0050035B">
      <w:pPr>
        <w:spacing w:line="360" w:lineRule="auto"/>
        <w:ind w:firstLine="720"/>
        <w:jc w:val="both"/>
        <w:rPr>
          <w:rFonts w:ascii="Century Gothic" w:hAnsi="Century Gothic"/>
        </w:rPr>
      </w:pPr>
      <w:r w:rsidRPr="009D1D06">
        <w:rPr>
          <w:rFonts w:ascii="Century Gothic" w:hAnsi="Century Gothic"/>
        </w:rPr>
        <w:t xml:space="preserve"> </w:t>
      </w:r>
    </w:p>
    <w:p w:rsidR="0050035B" w:rsidRDefault="0050035B" w:rsidP="0050035B">
      <w:pPr>
        <w:spacing w:line="360" w:lineRule="auto"/>
        <w:ind w:firstLine="720"/>
        <w:jc w:val="both"/>
        <w:rPr>
          <w:rFonts w:ascii="Century Gothic" w:hAnsi="Century Gothic"/>
        </w:rPr>
      </w:pPr>
      <w:r w:rsidRPr="009D1D06">
        <w:rPr>
          <w:rFonts w:ascii="Century Gothic" w:hAnsi="Century Gothic"/>
        </w:rPr>
        <w:t xml:space="preserve">Único </w:t>
      </w:r>
      <w:r w:rsidR="00786E93">
        <w:rPr>
          <w:rFonts w:ascii="Century Gothic" w:hAnsi="Century Gothic"/>
        </w:rPr>
        <w:t xml:space="preserve">Municipio </w:t>
      </w:r>
      <w:r w:rsidRPr="009D1D06">
        <w:rPr>
          <w:rFonts w:ascii="Century Gothic" w:hAnsi="Century Gothic"/>
        </w:rPr>
        <w:t xml:space="preserve">a nivel nacional con una calificación de 100% en el rubro de seguimiento (2020 y 2021) de avance de acuerdo al Índice General de Avance del PbR-SED de la SHCP. En este sentido, en el 2016 Monterrey contaba con una calificación de avance del 55.3%. Asimismo, es el único </w:t>
      </w:r>
      <w:r w:rsidR="00786E93">
        <w:rPr>
          <w:rFonts w:ascii="Century Gothic" w:hAnsi="Century Gothic"/>
        </w:rPr>
        <w:t xml:space="preserve">Municipio </w:t>
      </w:r>
      <w:r w:rsidRPr="009D1D06">
        <w:rPr>
          <w:rFonts w:ascii="Century Gothic" w:hAnsi="Century Gothic"/>
        </w:rPr>
        <w:t xml:space="preserve">a nivel nacional con una calificación de 100% en el rubro de evaluación (2021) de avance de acuerdo al Índice General de Avance del PbR-SED de la SHCP, avanzando del 11.9% que se contaba en el 2016. </w:t>
      </w:r>
    </w:p>
    <w:p w:rsidR="0050035B" w:rsidRDefault="0050035B" w:rsidP="0050035B">
      <w:pPr>
        <w:spacing w:line="360" w:lineRule="auto"/>
        <w:ind w:firstLine="720"/>
        <w:jc w:val="both"/>
        <w:rPr>
          <w:rFonts w:ascii="Century Gothic" w:hAnsi="Century Gothic"/>
        </w:rPr>
      </w:pPr>
    </w:p>
    <w:p w:rsidR="0050035B" w:rsidRDefault="0050035B" w:rsidP="0050035B">
      <w:pPr>
        <w:spacing w:line="360" w:lineRule="auto"/>
        <w:ind w:firstLine="720"/>
        <w:jc w:val="both"/>
        <w:rPr>
          <w:rFonts w:ascii="Century Gothic" w:hAnsi="Century Gothic"/>
        </w:rPr>
      </w:pPr>
      <w:r w:rsidRPr="009D1D06">
        <w:rPr>
          <w:rFonts w:ascii="Century Gothic" w:hAnsi="Century Gothic"/>
        </w:rPr>
        <w:t xml:space="preserve"> De 2019 a 2021 se ejecutaron 17 evaluaciones del desempeño a recursos federales, estatales y/o municipales, evaluando un monto superior a los 7 mil millones de pesos. Destacando a Monterrey como el único </w:t>
      </w:r>
      <w:r w:rsidR="00786E93">
        <w:rPr>
          <w:rFonts w:ascii="Century Gothic" w:hAnsi="Century Gothic"/>
        </w:rPr>
        <w:lastRenderedPageBreak/>
        <w:t xml:space="preserve">Municipio </w:t>
      </w:r>
      <w:r w:rsidRPr="009D1D06">
        <w:rPr>
          <w:rFonts w:ascii="Century Gothic" w:hAnsi="Century Gothic"/>
        </w:rPr>
        <w:t>de Nuevo León que ha realizado evaluaciones a recursos federales, estatales y propios.</w:t>
      </w:r>
    </w:p>
    <w:p w:rsidR="005E2860" w:rsidRDefault="005E2860" w:rsidP="0050035B">
      <w:pPr>
        <w:spacing w:line="360" w:lineRule="auto"/>
        <w:ind w:firstLine="720"/>
        <w:jc w:val="both"/>
        <w:rPr>
          <w:rFonts w:ascii="Century Gothic" w:hAnsi="Century Gothic"/>
        </w:rPr>
      </w:pPr>
    </w:p>
    <w:p w:rsidR="0050035B" w:rsidRDefault="0050035B" w:rsidP="0050035B">
      <w:pPr>
        <w:spacing w:line="360" w:lineRule="auto"/>
        <w:ind w:firstLine="720"/>
        <w:jc w:val="both"/>
        <w:rPr>
          <w:rFonts w:ascii="Century Gothic" w:hAnsi="Century Gothic"/>
        </w:rPr>
      </w:pPr>
      <w:r w:rsidRPr="009D1D06">
        <w:rPr>
          <w:rFonts w:ascii="Century Gothic" w:hAnsi="Century Gothic"/>
        </w:rPr>
        <w:t xml:space="preserve"> Como parte de la estrategia de impulsar la capacitación, especialización y actualización de los servidores públicos, se realizaron actividades de análisis y definición de temas específicos para</w:t>
      </w:r>
      <w:r w:rsidR="006E5EE7">
        <w:rPr>
          <w:rFonts w:ascii="Century Gothic" w:hAnsi="Century Gothic"/>
        </w:rPr>
        <w:t xml:space="preserve"> capacitación, derivado de esto</w:t>
      </w:r>
      <w:r w:rsidRPr="009D1D06">
        <w:rPr>
          <w:rFonts w:ascii="Century Gothic" w:hAnsi="Century Gothic"/>
        </w:rPr>
        <w:t xml:space="preserve"> y como TERCER INFORME ANUAL DE EJECUCIÓN SEPTIEMBRE 2021 parte del trabajo continuo en el Modelo de Cultura Organizacional orientada a Resultados, se ejecutaron 12 capacitaciones a 305 servidores públicos parte de instancias externas de manera presencial (U-ERRE y TECSO) y en línea (SHCP – UNAM) en PbR-SED y evaluación de programas públicos.</w:t>
      </w:r>
    </w:p>
    <w:p w:rsidR="00DE6A67" w:rsidRDefault="00DE6A67" w:rsidP="0050035B">
      <w:pPr>
        <w:spacing w:line="360" w:lineRule="auto"/>
        <w:ind w:firstLine="720"/>
        <w:jc w:val="both"/>
        <w:rPr>
          <w:rFonts w:ascii="Century Gothic" w:hAnsi="Century Gothic"/>
        </w:rPr>
      </w:pPr>
    </w:p>
    <w:p w:rsidR="001E360E" w:rsidRDefault="001E360E" w:rsidP="001E360E">
      <w:pPr>
        <w:spacing w:line="360" w:lineRule="auto"/>
        <w:ind w:firstLine="720"/>
        <w:jc w:val="both"/>
        <w:rPr>
          <w:rFonts w:ascii="Century Gothic" w:hAnsi="Century Gothic"/>
        </w:rPr>
      </w:pPr>
      <w:r>
        <w:rPr>
          <w:rFonts w:ascii="Century Gothic" w:hAnsi="Century Gothic"/>
        </w:rPr>
        <w:t>Adicionalmente a dichas acciones, se están llevando a cabo medidas que permitirán la consolidación del</w:t>
      </w:r>
      <w:r w:rsidR="005C68CF">
        <w:rPr>
          <w:rFonts w:ascii="Century Gothic" w:hAnsi="Century Gothic"/>
        </w:rPr>
        <w:t xml:space="preserve"> gobierno digital y la movilidad inteligente, </w:t>
      </w:r>
      <w:r>
        <w:rPr>
          <w:rFonts w:ascii="Century Gothic" w:hAnsi="Century Gothic"/>
        </w:rPr>
        <w:t xml:space="preserve">de manera que esto favorezca los ingresos por diversos rubros asociados a estas medidas. Cabe señalar, que uno de los aciertos que se ha tenido en el Gobierno de Monterrey es </w:t>
      </w:r>
      <w:r w:rsidR="00DE6A67">
        <w:rPr>
          <w:rFonts w:ascii="Century Gothic" w:hAnsi="Century Gothic"/>
        </w:rPr>
        <w:t xml:space="preserve">la continuidad que ha prevalecido en </w:t>
      </w:r>
      <w:r w:rsidR="005C68CF">
        <w:rPr>
          <w:rFonts w:ascii="Century Gothic" w:hAnsi="Century Gothic"/>
        </w:rPr>
        <w:t xml:space="preserve">el desarrollo de </w:t>
      </w:r>
      <w:r>
        <w:rPr>
          <w:rFonts w:ascii="Century Gothic" w:hAnsi="Century Gothic"/>
        </w:rPr>
        <w:t xml:space="preserve">acciones de eficiencia recaudatoria, situación que se prevé mantener </w:t>
      </w:r>
      <w:r w:rsidR="00DE6A67">
        <w:rPr>
          <w:rFonts w:ascii="Century Gothic" w:hAnsi="Century Gothic"/>
        </w:rPr>
        <w:t xml:space="preserve">para el ejercicio </w:t>
      </w:r>
      <w:r>
        <w:rPr>
          <w:rFonts w:ascii="Century Gothic" w:hAnsi="Century Gothic"/>
        </w:rPr>
        <w:t xml:space="preserve">fiscal </w:t>
      </w:r>
      <w:r w:rsidR="00DE6A67">
        <w:rPr>
          <w:rFonts w:ascii="Century Gothic" w:hAnsi="Century Gothic"/>
        </w:rPr>
        <w:t xml:space="preserve">2022. </w:t>
      </w:r>
      <w:r>
        <w:rPr>
          <w:rFonts w:ascii="Century Gothic" w:hAnsi="Century Gothic"/>
        </w:rPr>
        <w:t xml:space="preserve"> </w:t>
      </w:r>
    </w:p>
    <w:p w:rsidR="001E360E" w:rsidRDefault="001E360E" w:rsidP="001E360E">
      <w:pPr>
        <w:spacing w:line="360" w:lineRule="auto"/>
        <w:ind w:firstLine="720"/>
        <w:jc w:val="both"/>
        <w:rPr>
          <w:rFonts w:ascii="Century Gothic" w:hAnsi="Century Gothic"/>
        </w:rPr>
      </w:pPr>
    </w:p>
    <w:p w:rsidR="001E360E" w:rsidRDefault="001E360E" w:rsidP="001E360E">
      <w:pPr>
        <w:spacing w:line="360" w:lineRule="auto"/>
        <w:ind w:firstLine="720"/>
        <w:jc w:val="both"/>
        <w:rPr>
          <w:rFonts w:ascii="Century Gothic" w:hAnsi="Century Gothic"/>
        </w:rPr>
      </w:pPr>
      <w:r>
        <w:rPr>
          <w:rFonts w:ascii="Century Gothic" w:hAnsi="Century Gothic"/>
        </w:rPr>
        <w:t xml:space="preserve">Se sostiene la premisa que al ser eficientes en el ejercicio del egreso con transparencia y diligencia seguirá fortaleciendo la confianza ciudadana de manera que cada contribuyente de Monterrey cumpla puntualmente con sus deberes cívicos. </w:t>
      </w:r>
    </w:p>
    <w:p w:rsidR="0050035B" w:rsidRDefault="0050035B">
      <w:pPr>
        <w:rPr>
          <w:rFonts w:ascii="Century Gothic" w:hAnsi="Century Gothic"/>
        </w:rPr>
      </w:pPr>
      <w:r>
        <w:rPr>
          <w:rFonts w:ascii="Century Gothic" w:hAnsi="Century Gothic"/>
        </w:rPr>
        <w:br w:type="page"/>
      </w:r>
    </w:p>
    <w:p w:rsidR="00E35C8D" w:rsidRPr="0050035B" w:rsidRDefault="00E17F3E" w:rsidP="00E17F3E">
      <w:pPr>
        <w:spacing w:line="360" w:lineRule="auto"/>
        <w:rPr>
          <w:rFonts w:ascii="Century Gothic" w:hAnsi="Century Gothic"/>
          <w:b/>
          <w:lang w:val="es-MX"/>
        </w:rPr>
      </w:pPr>
      <w:r w:rsidRPr="0050035B">
        <w:rPr>
          <w:rFonts w:ascii="Century Gothic" w:hAnsi="Century Gothic"/>
          <w:b/>
          <w:lang w:val="es-MX"/>
        </w:rPr>
        <w:lastRenderedPageBreak/>
        <w:t xml:space="preserve">3. </w:t>
      </w:r>
      <w:r w:rsidR="00E35C8D" w:rsidRPr="0050035B">
        <w:rPr>
          <w:rFonts w:ascii="Century Gothic" w:hAnsi="Century Gothic"/>
          <w:b/>
          <w:lang w:val="es-MX"/>
        </w:rPr>
        <w:t>DISCIPLINA FINANCIERA</w:t>
      </w:r>
    </w:p>
    <w:p w:rsidR="00DF31E3" w:rsidRPr="0050035B" w:rsidRDefault="00DF31E3" w:rsidP="00E17F3E">
      <w:pPr>
        <w:spacing w:line="360" w:lineRule="auto"/>
        <w:rPr>
          <w:rFonts w:ascii="Century Gothic" w:hAnsi="Century Gothic"/>
          <w:b/>
          <w:lang w:val="es-MX"/>
        </w:rPr>
      </w:pPr>
    </w:p>
    <w:p w:rsidR="00E35C8D" w:rsidRPr="0050035B" w:rsidRDefault="00E35C8D" w:rsidP="00E35C8D">
      <w:pPr>
        <w:spacing w:line="360" w:lineRule="auto"/>
        <w:jc w:val="both"/>
        <w:rPr>
          <w:rFonts w:ascii="Century Gothic" w:hAnsi="Century Gothic"/>
          <w:lang w:val="es-MX"/>
        </w:rPr>
      </w:pPr>
      <w:r w:rsidRPr="0050035B">
        <w:rPr>
          <w:rFonts w:ascii="Century Gothic" w:hAnsi="Century Gothic"/>
          <w:lang w:val="es-MX"/>
        </w:rPr>
        <w:t xml:space="preserve">En el marco del inicio de vigencia de la Ley de Disciplina Financiera de las Entidades Federativas y los Municipios por lo que respecta al </w:t>
      </w:r>
      <w:r w:rsidR="00786E93">
        <w:rPr>
          <w:rFonts w:ascii="Century Gothic" w:hAnsi="Century Gothic"/>
          <w:lang w:val="es-MX"/>
        </w:rPr>
        <w:t xml:space="preserve">Municipio </w:t>
      </w:r>
      <w:r w:rsidRPr="0050035B">
        <w:rPr>
          <w:rFonts w:ascii="Century Gothic" w:hAnsi="Century Gothic"/>
          <w:lang w:val="es-MX"/>
        </w:rPr>
        <w:t>de Monterrey se han adoptado las previsiones requeridas para dar cumplimiento a las disposiciones que garantizan la administración de recursos con base en los principios de responsabilidad hacendaria y financiera, para un manejo sostenible de las finanzas públicas, entre los que se encuentran:</w:t>
      </w:r>
    </w:p>
    <w:p w:rsidR="000D24A0" w:rsidRPr="0050035B" w:rsidRDefault="000D24A0" w:rsidP="000D24A0">
      <w:pPr>
        <w:pStyle w:val="Prrafodelista"/>
        <w:autoSpaceDE w:val="0"/>
        <w:autoSpaceDN w:val="0"/>
        <w:adjustRightInd w:val="0"/>
        <w:spacing w:line="360" w:lineRule="auto"/>
        <w:ind w:left="1428"/>
        <w:jc w:val="both"/>
        <w:rPr>
          <w:rFonts w:ascii="Century Gothic" w:hAnsi="Century Gothic"/>
          <w:color w:val="252122"/>
          <w:lang w:val="es-MX"/>
        </w:rPr>
      </w:pPr>
    </w:p>
    <w:p w:rsidR="00E35C8D" w:rsidRPr="0050035B" w:rsidRDefault="00E35C8D" w:rsidP="00F845F1">
      <w:pPr>
        <w:pStyle w:val="Prrafodelista"/>
        <w:numPr>
          <w:ilvl w:val="0"/>
          <w:numId w:val="4"/>
        </w:numPr>
        <w:autoSpaceDE w:val="0"/>
        <w:autoSpaceDN w:val="0"/>
        <w:adjustRightInd w:val="0"/>
        <w:spacing w:line="360" w:lineRule="auto"/>
        <w:jc w:val="both"/>
        <w:rPr>
          <w:rFonts w:ascii="Century Gothic" w:hAnsi="Century Gothic"/>
          <w:color w:val="252122"/>
          <w:lang w:val="es-MX"/>
        </w:rPr>
      </w:pPr>
      <w:r w:rsidRPr="0050035B">
        <w:rPr>
          <w:rFonts w:ascii="Century Gothic" w:hAnsi="Century Gothic"/>
          <w:color w:val="252122"/>
          <w:lang w:val="es-MX"/>
        </w:rPr>
        <w:t>Generación de un Balance Presupuestario sostenible</w:t>
      </w:r>
    </w:p>
    <w:p w:rsidR="00E35C8D" w:rsidRPr="0050035B" w:rsidRDefault="00E35C8D" w:rsidP="00F845F1">
      <w:pPr>
        <w:pStyle w:val="Prrafodelista"/>
        <w:numPr>
          <w:ilvl w:val="0"/>
          <w:numId w:val="4"/>
        </w:numPr>
        <w:autoSpaceDE w:val="0"/>
        <w:autoSpaceDN w:val="0"/>
        <w:adjustRightInd w:val="0"/>
        <w:spacing w:line="360" w:lineRule="auto"/>
        <w:jc w:val="both"/>
        <w:rPr>
          <w:rFonts w:ascii="Century Gothic" w:hAnsi="Century Gothic"/>
          <w:color w:val="252122"/>
          <w:lang w:val="es-MX"/>
        </w:rPr>
      </w:pPr>
      <w:r w:rsidRPr="0050035B">
        <w:rPr>
          <w:rFonts w:ascii="Century Gothic" w:hAnsi="Century Gothic"/>
          <w:color w:val="252122"/>
          <w:lang w:val="es-MX"/>
        </w:rPr>
        <w:t>Fortalecimiento de la transparencia y rendición de cuentas, y</w:t>
      </w:r>
    </w:p>
    <w:p w:rsidR="00E35C8D" w:rsidRPr="0050035B" w:rsidRDefault="00E35C8D" w:rsidP="00F845F1">
      <w:pPr>
        <w:pStyle w:val="Prrafodelista"/>
        <w:numPr>
          <w:ilvl w:val="0"/>
          <w:numId w:val="4"/>
        </w:numPr>
        <w:autoSpaceDE w:val="0"/>
        <w:autoSpaceDN w:val="0"/>
        <w:adjustRightInd w:val="0"/>
        <w:spacing w:line="360" w:lineRule="auto"/>
        <w:jc w:val="both"/>
        <w:rPr>
          <w:rFonts w:ascii="Century Gothic" w:hAnsi="Century Gothic"/>
          <w:color w:val="252122"/>
          <w:lang w:val="es-MX"/>
        </w:rPr>
      </w:pPr>
      <w:r w:rsidRPr="0050035B">
        <w:rPr>
          <w:rFonts w:ascii="Century Gothic" w:hAnsi="Century Gothic"/>
          <w:color w:val="252122"/>
          <w:lang w:val="es-MX"/>
        </w:rPr>
        <w:tab/>
        <w:t>Manejo adecuado de la deuda.</w:t>
      </w:r>
    </w:p>
    <w:p w:rsidR="00E35C8D" w:rsidRPr="0050035B" w:rsidRDefault="00E35C8D" w:rsidP="00E35C8D">
      <w:pPr>
        <w:spacing w:line="360" w:lineRule="auto"/>
        <w:jc w:val="both"/>
        <w:rPr>
          <w:rFonts w:ascii="Century Gothic" w:hAnsi="Century Gothic"/>
          <w:b/>
          <w:lang w:val="es-MX"/>
        </w:rPr>
      </w:pPr>
    </w:p>
    <w:p w:rsidR="00E35C8D" w:rsidRDefault="001C37F9" w:rsidP="000D24A0">
      <w:pPr>
        <w:spacing w:line="360" w:lineRule="auto"/>
        <w:ind w:firstLine="720"/>
        <w:jc w:val="both"/>
        <w:rPr>
          <w:rFonts w:ascii="Century Gothic" w:hAnsi="Century Gothic"/>
          <w:b/>
          <w:lang w:val="es-MX"/>
        </w:rPr>
      </w:pPr>
      <w:r w:rsidRPr="0050035B">
        <w:rPr>
          <w:rFonts w:ascii="Century Gothic" w:hAnsi="Century Gothic"/>
          <w:lang w:val="es-MX"/>
        </w:rPr>
        <w:t>En cumplimiento</w:t>
      </w:r>
      <w:r w:rsidR="00E35C8D" w:rsidRPr="0050035B">
        <w:rPr>
          <w:rFonts w:ascii="Century Gothic" w:hAnsi="Century Gothic"/>
          <w:lang w:val="es-MX"/>
        </w:rPr>
        <w:t xml:space="preserve"> a las reglas de Disciplina Financiera, a la Legislación Municipal en materia de planeación, programación y presupuestación, así como a las normas en la materia emitidas por el </w:t>
      </w:r>
      <w:r w:rsidR="007152CF" w:rsidRPr="0050035B">
        <w:rPr>
          <w:rFonts w:ascii="Century Gothic" w:hAnsi="Century Gothic"/>
          <w:lang w:val="es-MX"/>
        </w:rPr>
        <w:t>Consejo Nacional de Armonización Contable (CONAC)</w:t>
      </w:r>
      <w:r w:rsidR="00E35C8D" w:rsidRPr="0050035B">
        <w:rPr>
          <w:rFonts w:ascii="Century Gothic" w:hAnsi="Century Gothic"/>
          <w:lang w:val="es-MX"/>
        </w:rPr>
        <w:t xml:space="preserve">, se hace una descripción detallada del comportamiento histórico de los ingresos, así como de las proyecciones y resultados de los mismos durante los últimos cinco años, pormenorizando la información con datos respecto a los objetivos de la administración de los ingresos y la política de Financiamiento en el </w:t>
      </w:r>
      <w:r w:rsidR="00786E93">
        <w:rPr>
          <w:rFonts w:ascii="Century Gothic" w:hAnsi="Century Gothic"/>
          <w:lang w:val="es-MX"/>
        </w:rPr>
        <w:t xml:space="preserve">Municipio </w:t>
      </w:r>
      <w:r w:rsidR="00E35C8D" w:rsidRPr="0050035B">
        <w:rPr>
          <w:rFonts w:ascii="Century Gothic" w:hAnsi="Century Gothic"/>
          <w:lang w:val="es-MX"/>
        </w:rPr>
        <w:t>de Monterrey.</w:t>
      </w:r>
      <w:r w:rsidR="00E35C8D" w:rsidRPr="0050035B">
        <w:rPr>
          <w:rFonts w:ascii="Century Gothic" w:hAnsi="Century Gothic"/>
          <w:b/>
          <w:lang w:val="es-MX"/>
        </w:rPr>
        <w:t xml:space="preserve"> </w:t>
      </w:r>
    </w:p>
    <w:p w:rsidR="005E2860" w:rsidRDefault="005E2860" w:rsidP="000D24A0">
      <w:pPr>
        <w:spacing w:line="360" w:lineRule="auto"/>
        <w:ind w:firstLine="720"/>
        <w:jc w:val="both"/>
        <w:rPr>
          <w:rFonts w:ascii="Century Gothic" w:hAnsi="Century Gothic"/>
          <w:b/>
          <w:lang w:val="es-MX"/>
        </w:rPr>
      </w:pPr>
    </w:p>
    <w:p w:rsidR="005E2860" w:rsidRPr="0050035B" w:rsidRDefault="005E2860" w:rsidP="005E2860">
      <w:pPr>
        <w:spacing w:line="360" w:lineRule="auto"/>
        <w:jc w:val="both"/>
        <w:rPr>
          <w:rFonts w:ascii="Century Gothic" w:hAnsi="Century Gothic"/>
          <w:b/>
          <w:lang w:val="es-MX"/>
        </w:rPr>
      </w:pPr>
      <w:r>
        <w:rPr>
          <w:rFonts w:ascii="Century Gothic" w:hAnsi="Century Gothic"/>
          <w:b/>
          <w:lang w:val="es-MX"/>
        </w:rPr>
        <w:t>3.1. Riesgos Relevantes para las Finanzas Públicas</w:t>
      </w:r>
    </w:p>
    <w:p w:rsidR="006D564F" w:rsidRDefault="006D564F" w:rsidP="005E2860">
      <w:pPr>
        <w:spacing w:line="360" w:lineRule="auto"/>
        <w:jc w:val="both"/>
        <w:rPr>
          <w:rFonts w:ascii="Century Gothic" w:hAnsi="Century Gothic"/>
          <w:lang w:val="es-MX"/>
        </w:rPr>
      </w:pPr>
      <w:r w:rsidRPr="006D564F">
        <w:rPr>
          <w:rFonts w:ascii="Century Gothic" w:hAnsi="Century Gothic"/>
          <w:lang w:val="es-MX"/>
        </w:rPr>
        <w:t>En esta sección, se describen los riesgos relevantes para las finanzas públicas incluyendo los montos de Deuda Contingente, acompañados de propuestas de acción para enfrentarlos</w:t>
      </w:r>
      <w:r w:rsidR="006D1A9A">
        <w:rPr>
          <w:rFonts w:ascii="Century Gothic" w:hAnsi="Century Gothic"/>
          <w:lang w:val="es-MX"/>
        </w:rPr>
        <w:t xml:space="preserve">, información </w:t>
      </w:r>
      <w:r>
        <w:rPr>
          <w:rFonts w:ascii="Century Gothic" w:hAnsi="Century Gothic"/>
          <w:lang w:val="es-MX"/>
        </w:rPr>
        <w:t xml:space="preserve">desarrollada de </w:t>
      </w:r>
      <w:r>
        <w:rPr>
          <w:rFonts w:ascii="Century Gothic" w:hAnsi="Century Gothic"/>
          <w:lang w:val="es-MX"/>
        </w:rPr>
        <w:lastRenderedPageBreak/>
        <w:t>conformidad con el Informe de Avance de Gestión Financiera al Tercer Trimestre del 2021</w:t>
      </w:r>
      <w:r w:rsidR="006E5EE7">
        <w:rPr>
          <w:rFonts w:ascii="Century Gothic" w:hAnsi="Century Gothic"/>
          <w:lang w:val="es-MX"/>
        </w:rPr>
        <w:t>, como se puede apreciar en la tabla 3.1.</w:t>
      </w:r>
      <w:r>
        <w:rPr>
          <w:rFonts w:ascii="Century Gothic" w:hAnsi="Century Gothic"/>
          <w:lang w:val="es-MX"/>
        </w:rPr>
        <w:t>:</w:t>
      </w:r>
    </w:p>
    <w:p w:rsidR="006D564F" w:rsidRPr="0050035B" w:rsidRDefault="006D564F" w:rsidP="006D564F">
      <w:pPr>
        <w:jc w:val="center"/>
        <w:rPr>
          <w:rFonts w:ascii="Century Gothic" w:hAnsi="Century Gothic"/>
          <w:sz w:val="22"/>
          <w:szCs w:val="22"/>
          <w:lang w:val="es-MX"/>
        </w:rPr>
      </w:pPr>
      <w:r w:rsidRPr="0050035B">
        <w:rPr>
          <w:rFonts w:ascii="Century Gothic" w:hAnsi="Century Gothic"/>
          <w:b/>
          <w:sz w:val="22"/>
          <w:szCs w:val="22"/>
          <w:lang w:val="es-MX"/>
        </w:rPr>
        <w:t xml:space="preserve">Tabla 3.1. </w:t>
      </w:r>
      <w:r>
        <w:rPr>
          <w:rFonts w:ascii="Century Gothic" w:hAnsi="Century Gothic"/>
          <w:sz w:val="22"/>
          <w:szCs w:val="22"/>
          <w:lang w:val="es-MX"/>
        </w:rPr>
        <w:t>Montos de Deuda Contingente, septiembre 2021.</w:t>
      </w:r>
    </w:p>
    <w:p w:rsidR="006D564F" w:rsidRPr="0050035B" w:rsidRDefault="006D564F" w:rsidP="006D564F">
      <w:pPr>
        <w:spacing w:line="360" w:lineRule="auto"/>
        <w:jc w:val="center"/>
        <w:rPr>
          <w:rFonts w:ascii="Century Gothic" w:hAnsi="Century Gothic"/>
          <w:lang w:val="es-MX"/>
        </w:rPr>
      </w:pPr>
      <w:r w:rsidRPr="00437485">
        <w:rPr>
          <w:noProof/>
          <w:lang w:val="es-MX" w:eastAsia="es-MX"/>
        </w:rPr>
        <w:drawing>
          <wp:anchor distT="0" distB="0" distL="114300" distR="114300" simplePos="0" relativeHeight="251753472" behindDoc="1" locked="0" layoutInCell="1" allowOverlap="1" wp14:anchorId="4607F7D7" wp14:editId="139E80CE">
            <wp:simplePos x="0" y="0"/>
            <wp:positionH relativeFrom="column">
              <wp:posOffset>53975</wp:posOffset>
            </wp:positionH>
            <wp:positionV relativeFrom="paragraph">
              <wp:posOffset>66040</wp:posOffset>
            </wp:positionV>
            <wp:extent cx="5636456" cy="1104900"/>
            <wp:effectExtent l="0" t="0" r="254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8481" cy="11072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564F" w:rsidRPr="0050035B" w:rsidRDefault="006D564F" w:rsidP="006D564F">
      <w:pPr>
        <w:spacing w:line="360" w:lineRule="auto"/>
        <w:ind w:firstLine="720"/>
        <w:jc w:val="both"/>
        <w:rPr>
          <w:rFonts w:ascii="Century Gothic" w:hAnsi="Century Gothic"/>
          <w:lang w:val="es-MX"/>
        </w:rPr>
      </w:pPr>
    </w:p>
    <w:p w:rsidR="006D564F" w:rsidRPr="0050035B" w:rsidRDefault="006D564F" w:rsidP="006D564F">
      <w:pPr>
        <w:spacing w:line="360" w:lineRule="auto"/>
        <w:ind w:firstLine="720"/>
        <w:jc w:val="both"/>
        <w:rPr>
          <w:rFonts w:ascii="Century Gothic" w:hAnsi="Century Gothic"/>
          <w:lang w:val="es-MX"/>
        </w:rPr>
      </w:pPr>
    </w:p>
    <w:p w:rsidR="006D564F" w:rsidRPr="0050035B" w:rsidRDefault="006D564F" w:rsidP="006D564F">
      <w:pPr>
        <w:spacing w:line="360" w:lineRule="auto"/>
        <w:ind w:firstLine="720"/>
        <w:jc w:val="both"/>
        <w:rPr>
          <w:rFonts w:ascii="Century Gothic" w:hAnsi="Century Gothic"/>
          <w:lang w:val="es-MX"/>
        </w:rPr>
      </w:pPr>
    </w:p>
    <w:p w:rsidR="006D564F" w:rsidRPr="0050035B" w:rsidRDefault="006D564F" w:rsidP="006D564F">
      <w:pPr>
        <w:ind w:left="1276" w:right="1302"/>
        <w:jc w:val="both"/>
        <w:rPr>
          <w:rFonts w:ascii="Century Gothic" w:hAnsi="Century Gothic"/>
          <w:b/>
          <w:sz w:val="18"/>
          <w:szCs w:val="18"/>
          <w:lang w:val="es-MX"/>
        </w:rPr>
      </w:pPr>
    </w:p>
    <w:p w:rsidR="006D564F" w:rsidRPr="0050035B" w:rsidRDefault="006D564F" w:rsidP="006D564F">
      <w:pPr>
        <w:ind w:left="993" w:right="877"/>
        <w:jc w:val="both"/>
        <w:rPr>
          <w:rFonts w:ascii="Century Gothic" w:hAnsi="Century Gothic"/>
          <w:sz w:val="20"/>
          <w:lang w:val="es-MX"/>
        </w:rPr>
      </w:pPr>
      <w:r w:rsidRPr="0050035B">
        <w:rPr>
          <w:rFonts w:ascii="Century Gothic" w:hAnsi="Century Gothic"/>
          <w:b/>
          <w:bCs/>
          <w:sz w:val="20"/>
          <w:lang w:val="es-MX"/>
        </w:rPr>
        <w:t>Fuente</w:t>
      </w:r>
      <w:r w:rsidRPr="0050035B">
        <w:rPr>
          <w:rFonts w:ascii="Century Gothic" w:hAnsi="Century Gothic"/>
          <w:sz w:val="20"/>
          <w:lang w:val="es-MX"/>
        </w:rPr>
        <w:t xml:space="preserve">: </w:t>
      </w:r>
      <w:r>
        <w:rPr>
          <w:rFonts w:ascii="Century Gothic" w:hAnsi="Century Gothic"/>
          <w:sz w:val="20"/>
          <w:lang w:val="es-MX"/>
        </w:rPr>
        <w:t>Elaboración propi</w:t>
      </w:r>
      <w:r w:rsidR="006E5EE7">
        <w:rPr>
          <w:rFonts w:ascii="Century Gothic" w:hAnsi="Century Gothic"/>
          <w:sz w:val="20"/>
          <w:lang w:val="es-MX"/>
        </w:rPr>
        <w:t>a</w:t>
      </w:r>
      <w:r>
        <w:rPr>
          <w:rFonts w:ascii="Century Gothic" w:hAnsi="Century Gothic"/>
          <w:sz w:val="20"/>
          <w:lang w:val="es-MX"/>
        </w:rPr>
        <w:t xml:space="preserve"> con datos del </w:t>
      </w:r>
      <w:r w:rsidRPr="006D564F">
        <w:rPr>
          <w:rFonts w:ascii="Century Gothic" w:hAnsi="Century Gothic"/>
          <w:sz w:val="20"/>
          <w:lang w:val="es-MX"/>
        </w:rPr>
        <w:t>Informe de Avance de Gestión Financiera al Tercer Trimestre del 2021</w:t>
      </w:r>
    </w:p>
    <w:p w:rsidR="006D564F" w:rsidRDefault="006D564F" w:rsidP="00E17F3E">
      <w:pPr>
        <w:spacing w:line="360" w:lineRule="auto"/>
        <w:rPr>
          <w:rFonts w:ascii="Century Gothic" w:hAnsi="Century Gothic"/>
          <w:highlight w:val="yellow"/>
          <w:lang w:val="es-MX"/>
        </w:rPr>
      </w:pPr>
    </w:p>
    <w:p w:rsidR="006D564F" w:rsidRPr="006D564F" w:rsidRDefault="006D564F" w:rsidP="006D564F">
      <w:pPr>
        <w:spacing w:line="360" w:lineRule="auto"/>
        <w:jc w:val="both"/>
        <w:rPr>
          <w:rFonts w:ascii="Century Gothic" w:hAnsi="Century Gothic"/>
          <w:lang w:val="es-MX"/>
        </w:rPr>
      </w:pPr>
      <w:r w:rsidRPr="006D564F">
        <w:rPr>
          <w:rFonts w:ascii="Century Gothic" w:hAnsi="Century Gothic"/>
          <w:lang w:val="es-MX"/>
        </w:rPr>
        <w:t>A continuación, se da una breve explicación de lo que representa cada apartado:</w:t>
      </w:r>
    </w:p>
    <w:p w:rsidR="006D564F" w:rsidRPr="006D564F" w:rsidRDefault="006D564F" w:rsidP="00F845F1">
      <w:pPr>
        <w:pStyle w:val="Prrafodelista"/>
        <w:numPr>
          <w:ilvl w:val="0"/>
          <w:numId w:val="13"/>
        </w:numPr>
        <w:spacing w:line="360" w:lineRule="auto"/>
        <w:jc w:val="both"/>
        <w:rPr>
          <w:rFonts w:ascii="Century Gothic" w:hAnsi="Century Gothic"/>
          <w:lang w:val="es-MX"/>
        </w:rPr>
      </w:pPr>
      <w:r w:rsidRPr="006D564F">
        <w:rPr>
          <w:rFonts w:ascii="Century Gothic" w:hAnsi="Century Gothic"/>
          <w:lang w:val="es-MX"/>
        </w:rPr>
        <w:t xml:space="preserve">Juicios: Se refiere a la relación de asuntos en litigio que se encuentran en trámite y que se estima posible el que sean resueltos en contra del municipio, al 30 de septiembre de 2021 este concepto asciende a </w:t>
      </w:r>
      <w:r w:rsidRPr="006D564F">
        <w:rPr>
          <w:rFonts w:ascii="Century Gothic" w:hAnsi="Century Gothic"/>
          <w:b/>
          <w:lang w:val="es-MX"/>
        </w:rPr>
        <w:t xml:space="preserve">$110,694,494.04 (Ciento diez millones seiscientos noventa y cuatro mil </w:t>
      </w:r>
      <w:r w:rsidR="00724E5D" w:rsidRPr="006D564F">
        <w:rPr>
          <w:rFonts w:ascii="Century Gothic" w:hAnsi="Century Gothic"/>
          <w:b/>
          <w:lang w:val="es-MX"/>
        </w:rPr>
        <w:t>cuatrocientos</w:t>
      </w:r>
      <w:r w:rsidRPr="006D564F">
        <w:rPr>
          <w:rFonts w:ascii="Century Gothic" w:hAnsi="Century Gothic"/>
          <w:b/>
          <w:lang w:val="es-MX"/>
        </w:rPr>
        <w:t xml:space="preserve"> noventa y cuatro pesos 04/100 Moneda Nacional)</w:t>
      </w:r>
      <w:r w:rsidRPr="006D564F">
        <w:rPr>
          <w:rFonts w:ascii="Century Gothic" w:hAnsi="Century Gothic"/>
          <w:lang w:val="es-MX"/>
        </w:rPr>
        <w:t>.</w:t>
      </w:r>
    </w:p>
    <w:p w:rsidR="006D564F" w:rsidRPr="006D564F" w:rsidRDefault="006D564F" w:rsidP="006D564F">
      <w:pPr>
        <w:spacing w:line="360" w:lineRule="auto"/>
        <w:jc w:val="both"/>
        <w:rPr>
          <w:rFonts w:ascii="Century Gothic" w:hAnsi="Century Gothic"/>
          <w:lang w:val="es-MX"/>
        </w:rPr>
      </w:pPr>
    </w:p>
    <w:p w:rsidR="006D564F" w:rsidRPr="006D564F" w:rsidRDefault="00F470D9" w:rsidP="00F845F1">
      <w:pPr>
        <w:pStyle w:val="Prrafodelista"/>
        <w:numPr>
          <w:ilvl w:val="0"/>
          <w:numId w:val="13"/>
        </w:numPr>
        <w:spacing w:line="360" w:lineRule="auto"/>
        <w:jc w:val="both"/>
        <w:rPr>
          <w:rFonts w:ascii="Century Gothic" w:hAnsi="Century Gothic"/>
          <w:b/>
          <w:lang w:val="es-MX"/>
        </w:rPr>
      </w:pPr>
      <w:r>
        <w:rPr>
          <w:rFonts w:ascii="Century Gothic" w:hAnsi="Century Gothic"/>
          <w:lang w:val="es-MX"/>
        </w:rPr>
        <w:t>Facturas de Bienes y/o Servicios en Revisión</w:t>
      </w:r>
      <w:r w:rsidR="006D564F" w:rsidRPr="006D564F">
        <w:rPr>
          <w:rFonts w:ascii="Century Gothic" w:hAnsi="Century Gothic"/>
          <w:lang w:val="es-MX"/>
        </w:rPr>
        <w:t xml:space="preserve">: Derivado de la implementación del sistema de contabilidad gubernamental en el año 2014 y a efecto de dar cumplimiento al reconocimiento del gasto devengado, existen facturas que no fueron reconocidas como pasivo debido a que en esos periodos se consideraban los gastos en base a flujo de efectivo. El importe de dichas facturas al cierre del mes de septiembre de 2021 es por un monto de </w:t>
      </w:r>
      <w:r w:rsidR="006D564F" w:rsidRPr="006D564F">
        <w:rPr>
          <w:rFonts w:ascii="Century Gothic" w:hAnsi="Century Gothic"/>
          <w:b/>
          <w:lang w:val="es-MX"/>
        </w:rPr>
        <w:t xml:space="preserve">$73,417,685.74 (Setenta y tres millones cuatrocientos diecisiete mil seiscientos ochenta y cinco pesos 74/100 Moneda Nacional) </w:t>
      </w:r>
      <w:r w:rsidR="006D564F" w:rsidRPr="006D564F">
        <w:rPr>
          <w:rFonts w:ascii="Century Gothic" w:hAnsi="Century Gothic"/>
          <w:lang w:val="es-MX"/>
        </w:rPr>
        <w:t xml:space="preserve">y se encuentran en proceso de revisión. </w:t>
      </w:r>
      <w:r w:rsidR="006E5EE7">
        <w:rPr>
          <w:rFonts w:ascii="Century Gothic" w:hAnsi="Century Gothic"/>
          <w:lang w:val="es-MX"/>
        </w:rPr>
        <w:t>Asimismo</w:t>
      </w:r>
      <w:r w:rsidR="006D564F" w:rsidRPr="006D564F">
        <w:rPr>
          <w:rFonts w:ascii="Century Gothic" w:hAnsi="Century Gothic"/>
          <w:lang w:val="es-MX"/>
        </w:rPr>
        <w:t xml:space="preserve">, durante el presente ejercicio se realizaron cancelaciones de cheques emitidos en ejercicios anteriores, que no </w:t>
      </w:r>
      <w:r w:rsidR="006D564F" w:rsidRPr="006D564F">
        <w:rPr>
          <w:rFonts w:ascii="Century Gothic" w:hAnsi="Century Gothic"/>
          <w:lang w:val="es-MX"/>
        </w:rPr>
        <w:lastRenderedPageBreak/>
        <w:t xml:space="preserve">fueron cobrados por sus beneficiarios y presentaron expiración de firmas, cancelándose por consecuencia las órdenes de pago correspondientes, por un importe de </w:t>
      </w:r>
      <w:r w:rsidR="006D564F" w:rsidRPr="006D564F">
        <w:rPr>
          <w:rFonts w:ascii="Century Gothic" w:hAnsi="Century Gothic"/>
          <w:b/>
          <w:lang w:val="es-MX"/>
        </w:rPr>
        <w:t>$2,440,872.23 (Dos millones cuatrocientos cuarenta mil ochocientos setenta y dos pesos 23/100 Moneda Nacional),</w:t>
      </w:r>
      <w:r w:rsidR="006D564F" w:rsidRPr="006D564F">
        <w:rPr>
          <w:rFonts w:ascii="Century Gothic" w:hAnsi="Century Gothic"/>
          <w:lang w:val="es-MX"/>
        </w:rPr>
        <w:t xml:space="preserve"> el cual fue agregado al pasivo contingente en revisión en este ejercicio dando un total de </w:t>
      </w:r>
      <w:r w:rsidR="006D564F">
        <w:rPr>
          <w:rFonts w:ascii="Century Gothic" w:hAnsi="Century Gothic"/>
          <w:b/>
          <w:lang w:val="es-MX"/>
        </w:rPr>
        <w:t>$</w:t>
      </w:r>
      <w:r w:rsidR="006D564F" w:rsidRPr="006D564F">
        <w:rPr>
          <w:rFonts w:ascii="Century Gothic" w:hAnsi="Century Gothic"/>
          <w:b/>
          <w:lang w:val="es-MX"/>
        </w:rPr>
        <w:t xml:space="preserve">75,858,557.97 (Setenta y cinco millones ochocientos cincuenta y ocho mil quinientos cincuenta y siete pesos 97/100 Moneda Nacional) </w:t>
      </w:r>
      <w:r w:rsidR="006D564F">
        <w:rPr>
          <w:rFonts w:ascii="Century Gothic" w:hAnsi="Century Gothic"/>
          <w:b/>
          <w:lang w:val="es-MX"/>
        </w:rPr>
        <w:t>.</w:t>
      </w:r>
      <w:r w:rsidR="006D564F" w:rsidRPr="006D564F">
        <w:rPr>
          <w:rFonts w:ascii="Century Gothic" w:hAnsi="Century Gothic"/>
          <w:b/>
          <w:lang w:val="es-MX"/>
        </w:rPr>
        <w:t xml:space="preserve"> </w:t>
      </w:r>
    </w:p>
    <w:p w:rsidR="006D564F" w:rsidRPr="006D564F" w:rsidRDefault="006D564F" w:rsidP="006D564F">
      <w:pPr>
        <w:pStyle w:val="Prrafodelista"/>
        <w:rPr>
          <w:rFonts w:ascii="Century Gothic" w:hAnsi="Century Gothic"/>
          <w:lang w:val="es-MX"/>
        </w:rPr>
      </w:pPr>
    </w:p>
    <w:p w:rsidR="006D564F" w:rsidRPr="006D564F" w:rsidRDefault="006D564F" w:rsidP="00F845F1">
      <w:pPr>
        <w:pStyle w:val="Prrafodelista"/>
        <w:numPr>
          <w:ilvl w:val="0"/>
          <w:numId w:val="13"/>
        </w:numPr>
        <w:spacing w:line="360" w:lineRule="auto"/>
        <w:jc w:val="both"/>
        <w:rPr>
          <w:rFonts w:ascii="Century Gothic" w:hAnsi="Century Gothic"/>
          <w:lang w:val="es-MX"/>
        </w:rPr>
      </w:pPr>
      <w:r w:rsidRPr="006D564F">
        <w:rPr>
          <w:rFonts w:ascii="Century Gothic" w:hAnsi="Century Gothic"/>
          <w:lang w:val="es-MX"/>
        </w:rPr>
        <w:t>Obligaciones laborales contingentes: De acuerdo al cálculo actuarial, realizado en el mes de diciembre de 2020 por el despacho Valuaciones Actuariales del Norte</w:t>
      </w:r>
      <w:r w:rsidR="006E5EE7">
        <w:rPr>
          <w:rFonts w:ascii="Century Gothic" w:hAnsi="Century Gothic"/>
          <w:lang w:val="es-MX"/>
        </w:rPr>
        <w:t xml:space="preserve"> AC</w:t>
      </w:r>
      <w:r w:rsidRPr="006D564F">
        <w:rPr>
          <w:rFonts w:ascii="Century Gothic" w:hAnsi="Century Gothic"/>
          <w:lang w:val="es-MX"/>
        </w:rPr>
        <w:t>, el cual fue elaborado observando la Norma de Información Financiera D3 emitida por el Consejo Mexicano para la Investigación y Desarrollo de Normas de Información Financiera, AC (CINIF), así mismo se dio cumplimiento al Boletín de Observancia para la Evaluación Actuarial de Pasivos Contingentes y a la Guía Actuarial N° 1, publicados por el Colegio Nacional de Actuarios, A.C. y por la Asociación Mexicana de Actuarios Consultores, A.C., el saldo al 30 de septiembre de 2021 registrado en cuentas de orden contables por el pasivo contingente de obligaciones laborales asciende a un impo</w:t>
      </w:r>
      <w:r>
        <w:rPr>
          <w:rFonts w:ascii="Century Gothic" w:hAnsi="Century Gothic"/>
          <w:lang w:val="es-MX"/>
        </w:rPr>
        <w:t xml:space="preserve">rte neto de </w:t>
      </w:r>
      <w:r w:rsidRPr="006D564F">
        <w:rPr>
          <w:rFonts w:ascii="Century Gothic" w:hAnsi="Century Gothic"/>
          <w:b/>
          <w:lang w:val="es-MX"/>
        </w:rPr>
        <w:t>$7,133,295,509.50 (Siete mil ciento treinta y tres millones doscientos noventa y cinco mil quinientos nueve pesos 50/100 Moneda Nacional);</w:t>
      </w:r>
      <w:r w:rsidRPr="006D564F">
        <w:rPr>
          <w:rFonts w:ascii="Century Gothic" w:hAnsi="Century Gothic"/>
          <w:lang w:val="es-MX"/>
        </w:rPr>
        <w:t xml:space="preserve"> se muestran a continuación su desglose:</w:t>
      </w:r>
    </w:p>
    <w:p w:rsidR="006D564F" w:rsidRPr="006D564F" w:rsidRDefault="006D564F" w:rsidP="006D564F">
      <w:pPr>
        <w:spacing w:line="360" w:lineRule="auto"/>
        <w:jc w:val="both"/>
        <w:rPr>
          <w:rFonts w:ascii="Century Gothic" w:hAnsi="Century Gothic"/>
          <w:lang w:val="es-MX"/>
        </w:rPr>
      </w:pPr>
    </w:p>
    <w:p w:rsidR="006D564F" w:rsidRPr="006D564F" w:rsidRDefault="006D564F" w:rsidP="006D564F">
      <w:pPr>
        <w:spacing w:line="360" w:lineRule="auto"/>
        <w:jc w:val="both"/>
        <w:rPr>
          <w:rFonts w:ascii="Century Gothic" w:hAnsi="Century Gothic"/>
          <w:lang w:val="es-MX"/>
        </w:rPr>
      </w:pPr>
      <w:r w:rsidRPr="006D564F">
        <w:rPr>
          <w:rFonts w:ascii="Century Gothic" w:hAnsi="Century Gothic"/>
          <w:noProof/>
          <w:lang w:val="es-MX" w:eastAsia="es-MX"/>
        </w:rPr>
        <w:lastRenderedPageBreak/>
        <w:drawing>
          <wp:inline distT="0" distB="0" distL="0" distR="0" wp14:anchorId="48C6838F" wp14:editId="02B1F1C0">
            <wp:extent cx="5181600" cy="113321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8219" cy="1141225"/>
                    </a:xfrm>
                    <a:prstGeom prst="rect">
                      <a:avLst/>
                    </a:prstGeom>
                    <a:noFill/>
                  </pic:spPr>
                </pic:pic>
              </a:graphicData>
            </a:graphic>
          </wp:inline>
        </w:drawing>
      </w:r>
    </w:p>
    <w:p w:rsidR="006D564F" w:rsidRPr="006D564F" w:rsidRDefault="006D564F" w:rsidP="006D564F">
      <w:pPr>
        <w:spacing w:line="360" w:lineRule="auto"/>
        <w:jc w:val="both"/>
        <w:rPr>
          <w:rFonts w:ascii="Century Gothic" w:hAnsi="Century Gothic"/>
          <w:lang w:val="es-MX"/>
        </w:rPr>
      </w:pPr>
    </w:p>
    <w:p w:rsidR="00E8670E" w:rsidRPr="008168E6" w:rsidRDefault="00E8670E" w:rsidP="00E8670E">
      <w:pPr>
        <w:spacing w:line="360" w:lineRule="auto"/>
        <w:jc w:val="both"/>
        <w:rPr>
          <w:rFonts w:ascii="Century Gothic" w:hAnsi="Century Gothic"/>
          <w:lang w:val="es-MX"/>
        </w:rPr>
      </w:pPr>
      <w:r w:rsidRPr="008168E6">
        <w:rPr>
          <w:rFonts w:ascii="Century Gothic" w:hAnsi="Century Gothic"/>
          <w:lang w:val="es-MX"/>
        </w:rPr>
        <w:t>Respecto a los riesgos considerados relevantes aquí descritos, además de lo ya mencionado, se tienen previstas las siguientes acciones para su atención:</w:t>
      </w:r>
    </w:p>
    <w:p w:rsidR="00E8670E" w:rsidRPr="00E8670E" w:rsidRDefault="00E8670E" w:rsidP="00E8670E">
      <w:pPr>
        <w:spacing w:line="360" w:lineRule="auto"/>
        <w:jc w:val="both"/>
        <w:rPr>
          <w:rFonts w:ascii="Century Gothic" w:hAnsi="Century Gothic"/>
          <w:highlight w:val="yellow"/>
          <w:lang w:val="es-MX"/>
        </w:rPr>
      </w:pPr>
    </w:p>
    <w:p w:rsidR="00E8670E" w:rsidRPr="00174750" w:rsidRDefault="00174750" w:rsidP="00F845F1">
      <w:pPr>
        <w:pStyle w:val="Prrafodelista"/>
        <w:numPr>
          <w:ilvl w:val="0"/>
          <w:numId w:val="14"/>
        </w:numPr>
        <w:spacing w:line="360" w:lineRule="auto"/>
        <w:ind w:left="426" w:hanging="284"/>
        <w:jc w:val="both"/>
        <w:rPr>
          <w:rFonts w:ascii="Century Gothic" w:hAnsi="Century Gothic"/>
          <w:lang w:val="es-MX"/>
        </w:rPr>
      </w:pPr>
      <w:r w:rsidRPr="00174750">
        <w:rPr>
          <w:rFonts w:ascii="Century Gothic" w:hAnsi="Century Gothic"/>
          <w:lang w:val="es-MX"/>
        </w:rPr>
        <w:t xml:space="preserve">Se mantiene contenido </w:t>
      </w:r>
      <w:r w:rsidR="00E8670E" w:rsidRPr="00174750">
        <w:rPr>
          <w:rFonts w:ascii="Century Gothic" w:hAnsi="Century Gothic"/>
          <w:lang w:val="es-MX"/>
        </w:rPr>
        <w:t xml:space="preserve">el rubro de servicios personales a </w:t>
      </w:r>
      <w:r w:rsidRPr="00174750">
        <w:rPr>
          <w:rFonts w:ascii="Century Gothic" w:hAnsi="Century Gothic"/>
          <w:lang w:val="es-MX"/>
        </w:rPr>
        <w:t>un monto por debajo del límite</w:t>
      </w:r>
      <w:r w:rsidR="00E8670E" w:rsidRPr="00174750">
        <w:rPr>
          <w:rFonts w:ascii="Century Gothic" w:hAnsi="Century Gothic"/>
          <w:lang w:val="es-MX"/>
        </w:rPr>
        <w:t xml:space="preserve"> del 3% de </w:t>
      </w:r>
      <w:r w:rsidRPr="00174750">
        <w:rPr>
          <w:rFonts w:ascii="Century Gothic" w:hAnsi="Century Gothic"/>
          <w:lang w:val="es-MX"/>
        </w:rPr>
        <w:t xml:space="preserve">crecimiento real, de </w:t>
      </w:r>
      <w:r w:rsidR="00E8670E" w:rsidRPr="00174750">
        <w:rPr>
          <w:rFonts w:ascii="Century Gothic" w:hAnsi="Century Gothic"/>
          <w:lang w:val="es-MX"/>
        </w:rPr>
        <w:t>conformidad con lo señalado en Ley de Disciplina Financiera de las Entidades Federativas y los Municipios.</w:t>
      </w:r>
    </w:p>
    <w:p w:rsidR="00E8670E" w:rsidRPr="008168E6" w:rsidRDefault="00E8670E" w:rsidP="00F845F1">
      <w:pPr>
        <w:pStyle w:val="Prrafodelista"/>
        <w:numPr>
          <w:ilvl w:val="0"/>
          <w:numId w:val="14"/>
        </w:numPr>
        <w:spacing w:line="360" w:lineRule="auto"/>
        <w:ind w:left="426" w:hanging="284"/>
        <w:jc w:val="both"/>
        <w:rPr>
          <w:rFonts w:ascii="Century Gothic" w:hAnsi="Century Gothic"/>
          <w:lang w:val="es-MX"/>
        </w:rPr>
      </w:pPr>
      <w:r w:rsidRPr="008168E6">
        <w:rPr>
          <w:rFonts w:ascii="Century Gothic" w:hAnsi="Century Gothic"/>
          <w:lang w:val="es-MX"/>
        </w:rPr>
        <w:t xml:space="preserve">Priorización y racionalización del presupuesto. Se favorece el presupuesto en inversión y se continua con la política de priorización y racionalización del presupuesto en áreas y programas que no dan apoyo y atención directo a la ciudadanía. Se debe considerar que se priorizan las acciones encaminadas a prevenir y contener la propagación del </w:t>
      </w:r>
      <w:r w:rsidR="00C17543" w:rsidRPr="008168E6">
        <w:rPr>
          <w:rFonts w:ascii="Century Gothic" w:hAnsi="Century Gothic"/>
          <w:lang w:val="es-MX"/>
        </w:rPr>
        <w:t>virus SARS-CoV2 (COVID-19)</w:t>
      </w:r>
      <w:r w:rsidRPr="008168E6">
        <w:rPr>
          <w:rFonts w:ascii="Century Gothic" w:hAnsi="Century Gothic"/>
          <w:lang w:val="es-MX"/>
        </w:rPr>
        <w:t>, dentro de la competencia municipal.</w:t>
      </w:r>
    </w:p>
    <w:p w:rsidR="005E2860" w:rsidRPr="008168E6" w:rsidRDefault="00E8670E" w:rsidP="00F845F1">
      <w:pPr>
        <w:pStyle w:val="Prrafodelista"/>
        <w:numPr>
          <w:ilvl w:val="0"/>
          <w:numId w:val="14"/>
        </w:numPr>
        <w:spacing w:line="360" w:lineRule="auto"/>
        <w:ind w:left="426" w:hanging="284"/>
        <w:jc w:val="both"/>
        <w:rPr>
          <w:rFonts w:ascii="Century Gothic" w:hAnsi="Century Gothic"/>
          <w:lang w:val="es-MX"/>
        </w:rPr>
      </w:pPr>
      <w:r w:rsidRPr="008168E6">
        <w:rPr>
          <w:rFonts w:ascii="Century Gothic" w:hAnsi="Century Gothic"/>
          <w:lang w:val="es-MX"/>
        </w:rPr>
        <w:t xml:space="preserve">El Municipio de Monterrey, a través del Consejo Municipal de Armonización Contable </w:t>
      </w:r>
      <w:r w:rsidR="008168E6" w:rsidRPr="008168E6">
        <w:rPr>
          <w:rFonts w:ascii="Century Gothic" w:hAnsi="Century Gothic"/>
          <w:lang w:val="es-MX"/>
        </w:rPr>
        <w:t>que</w:t>
      </w:r>
      <w:r w:rsidRPr="008168E6">
        <w:rPr>
          <w:rFonts w:ascii="Century Gothic" w:hAnsi="Century Gothic"/>
          <w:lang w:val="es-MX"/>
        </w:rPr>
        <w:t xml:space="preserve"> tiene considerado continuar con el análisis de las cuentas por cobrar y por pagar que se consideran vulnerables por la antigüedad de sus saldos, con la finalidad que reflejen la realidad económica que tiene el </w:t>
      </w:r>
      <w:r w:rsidR="00786E93" w:rsidRPr="008168E6">
        <w:rPr>
          <w:rFonts w:ascii="Century Gothic" w:hAnsi="Century Gothic"/>
          <w:lang w:val="es-MX"/>
        </w:rPr>
        <w:t xml:space="preserve">Municipio </w:t>
      </w:r>
      <w:r w:rsidRPr="008168E6">
        <w:rPr>
          <w:rFonts w:ascii="Century Gothic" w:hAnsi="Century Gothic"/>
          <w:lang w:val="es-MX"/>
        </w:rPr>
        <w:t>y que cumplan con lo dispuesto en la Ley General de Contabilidad Gubernamental y demás normatividad aplicable.</w:t>
      </w:r>
    </w:p>
    <w:p w:rsidR="00E8670E" w:rsidRDefault="00E8670E" w:rsidP="00E8670E">
      <w:pPr>
        <w:spacing w:line="360" w:lineRule="auto"/>
        <w:rPr>
          <w:rFonts w:ascii="Century Gothic" w:hAnsi="Century Gothic"/>
          <w:b/>
          <w:lang w:val="es-MX"/>
        </w:rPr>
      </w:pPr>
    </w:p>
    <w:p w:rsidR="008D7D5A" w:rsidRPr="0050035B" w:rsidRDefault="008D7D5A" w:rsidP="00E8670E">
      <w:pPr>
        <w:spacing w:line="360" w:lineRule="auto"/>
        <w:rPr>
          <w:rFonts w:ascii="Century Gothic" w:hAnsi="Century Gothic"/>
          <w:b/>
          <w:lang w:val="es-MX"/>
        </w:rPr>
      </w:pPr>
    </w:p>
    <w:p w:rsidR="00F938FE" w:rsidRPr="0050035B" w:rsidRDefault="00F938FE" w:rsidP="00F938FE">
      <w:pPr>
        <w:spacing w:line="360" w:lineRule="auto"/>
        <w:ind w:left="720" w:hanging="720"/>
        <w:jc w:val="both"/>
        <w:rPr>
          <w:rFonts w:ascii="Century Gothic" w:hAnsi="Century Gothic"/>
          <w:b/>
          <w:lang w:val="es-MX"/>
        </w:rPr>
      </w:pPr>
      <w:r w:rsidRPr="0050035B">
        <w:rPr>
          <w:rFonts w:ascii="Century Gothic" w:eastAsiaTheme="minorHAnsi" w:hAnsi="Century Gothic"/>
          <w:b/>
          <w:lang w:val="es-MX"/>
        </w:rPr>
        <w:lastRenderedPageBreak/>
        <w:t>3.</w:t>
      </w:r>
      <w:r w:rsidR="00C82F72">
        <w:rPr>
          <w:rFonts w:ascii="Century Gothic" w:eastAsiaTheme="minorHAnsi" w:hAnsi="Century Gothic"/>
          <w:b/>
          <w:lang w:val="es-MX"/>
        </w:rPr>
        <w:t>2</w:t>
      </w:r>
      <w:r w:rsidRPr="0050035B">
        <w:rPr>
          <w:rFonts w:ascii="Century Gothic" w:eastAsiaTheme="minorHAnsi" w:hAnsi="Century Gothic"/>
          <w:b/>
          <w:lang w:val="es-MX"/>
        </w:rPr>
        <w:t>. Presupuesto de Ingresos Proyectado</w:t>
      </w:r>
    </w:p>
    <w:p w:rsidR="0050035B" w:rsidRPr="003C595E" w:rsidRDefault="0050035B" w:rsidP="0050035B">
      <w:pPr>
        <w:spacing w:line="360" w:lineRule="auto"/>
        <w:jc w:val="both"/>
        <w:rPr>
          <w:rFonts w:ascii="Century Gothic" w:hAnsi="Century Gothic"/>
        </w:rPr>
      </w:pPr>
      <w:r w:rsidRPr="003C595E">
        <w:rPr>
          <w:rFonts w:ascii="Century Gothic" w:hAnsi="Century Gothic"/>
        </w:rPr>
        <w:t>Con base a las consideraciones vertidas</w:t>
      </w:r>
      <w:r>
        <w:rPr>
          <w:rFonts w:ascii="Century Gothic" w:hAnsi="Century Gothic"/>
        </w:rPr>
        <w:t xml:space="preserve">, las cuales </w:t>
      </w:r>
      <w:r w:rsidRPr="0050035B">
        <w:rPr>
          <w:rFonts w:ascii="Century Gothic" w:hAnsi="Century Gothic"/>
          <w:lang w:val="es-MX"/>
        </w:rPr>
        <w:t>responden al conte</w:t>
      </w:r>
      <w:r w:rsidR="006E5EE7">
        <w:rPr>
          <w:rFonts w:ascii="Century Gothic" w:hAnsi="Century Gothic"/>
          <w:lang w:val="es-MX"/>
        </w:rPr>
        <w:t>xto jurídico, social, sanitario</w:t>
      </w:r>
      <w:r w:rsidRPr="0050035B">
        <w:rPr>
          <w:rFonts w:ascii="Century Gothic" w:hAnsi="Century Gothic"/>
          <w:lang w:val="es-MX"/>
        </w:rPr>
        <w:t xml:space="preserve"> y económico previamente expuesto</w:t>
      </w:r>
      <w:r w:rsidRPr="003C595E">
        <w:rPr>
          <w:rFonts w:ascii="Century Gothic" w:hAnsi="Century Gothic"/>
        </w:rPr>
        <w:t xml:space="preserve"> en los apartados que preceden</w:t>
      </w:r>
      <w:r>
        <w:rPr>
          <w:rFonts w:ascii="Century Gothic" w:hAnsi="Century Gothic"/>
        </w:rPr>
        <w:t>,</w:t>
      </w:r>
      <w:r w:rsidRPr="003C595E">
        <w:rPr>
          <w:rFonts w:ascii="Century Gothic" w:hAnsi="Century Gothic"/>
        </w:rPr>
        <w:t xml:space="preserve"> es posible generar proyecciones eficientes de</w:t>
      </w:r>
      <w:r w:rsidR="006E5EE7">
        <w:rPr>
          <w:rFonts w:ascii="Century Gothic" w:hAnsi="Century Gothic"/>
        </w:rPr>
        <w:t xml:space="preserve"> ingresos para el Municipio de M</w:t>
      </w:r>
      <w:r w:rsidRPr="003C595E">
        <w:rPr>
          <w:rFonts w:ascii="Century Gothic" w:hAnsi="Century Gothic"/>
        </w:rPr>
        <w:t xml:space="preserve">onterrey, que se apeguen a la realidad política y económica </w:t>
      </w:r>
      <w:r>
        <w:rPr>
          <w:rFonts w:ascii="Century Gothic" w:hAnsi="Century Gothic"/>
        </w:rPr>
        <w:t>y observando el</w:t>
      </w:r>
      <w:r w:rsidRPr="003C595E">
        <w:rPr>
          <w:rFonts w:ascii="Century Gothic" w:hAnsi="Century Gothic"/>
        </w:rPr>
        <w:t xml:space="preserve"> marco jurídico establecido.</w:t>
      </w:r>
    </w:p>
    <w:p w:rsidR="0050035B" w:rsidRPr="003C595E" w:rsidRDefault="0050035B" w:rsidP="0050035B">
      <w:pPr>
        <w:spacing w:line="360" w:lineRule="auto"/>
        <w:jc w:val="both"/>
        <w:rPr>
          <w:rFonts w:ascii="Century Gothic" w:hAnsi="Century Gothic"/>
        </w:rPr>
      </w:pPr>
    </w:p>
    <w:p w:rsidR="0050035B" w:rsidRPr="00923C35" w:rsidRDefault="0050035B" w:rsidP="0050035B">
      <w:pPr>
        <w:spacing w:line="360" w:lineRule="auto"/>
        <w:ind w:firstLine="720"/>
        <w:jc w:val="both"/>
        <w:rPr>
          <w:rFonts w:ascii="Century Gothic" w:hAnsi="Century Gothic"/>
          <w:b/>
          <w:highlight w:val="red"/>
        </w:rPr>
      </w:pPr>
      <w:r w:rsidRPr="003C595E">
        <w:rPr>
          <w:rFonts w:ascii="Century Gothic" w:hAnsi="Century Gothic"/>
        </w:rPr>
        <w:t>Por lo que la proyección</w:t>
      </w:r>
      <w:r>
        <w:rPr>
          <w:rFonts w:ascii="Century Gothic" w:hAnsi="Century Gothic"/>
        </w:rPr>
        <w:t xml:space="preserve"> del total de ingresos para e</w:t>
      </w:r>
      <w:r w:rsidRPr="003C595E">
        <w:rPr>
          <w:rFonts w:ascii="Century Gothic" w:hAnsi="Century Gothic"/>
        </w:rPr>
        <w:t xml:space="preserve">l Municipio de Monterrey </w:t>
      </w:r>
      <w:r>
        <w:rPr>
          <w:rFonts w:ascii="Century Gothic" w:hAnsi="Century Gothic"/>
        </w:rPr>
        <w:t>en</w:t>
      </w:r>
      <w:r w:rsidRPr="00993079">
        <w:rPr>
          <w:rFonts w:ascii="Century Gothic" w:hAnsi="Century Gothic"/>
        </w:rPr>
        <w:t xml:space="preserve"> el </w:t>
      </w:r>
      <w:r w:rsidRPr="0093106A">
        <w:rPr>
          <w:rFonts w:ascii="Century Gothic" w:hAnsi="Century Gothic"/>
        </w:rPr>
        <w:t>ejercicio fiscal d</w:t>
      </w:r>
      <w:r>
        <w:rPr>
          <w:rFonts w:ascii="Century Gothic" w:hAnsi="Century Gothic"/>
        </w:rPr>
        <w:t>el 2022</w:t>
      </w:r>
      <w:r w:rsidRPr="0093106A">
        <w:rPr>
          <w:rFonts w:ascii="Century Gothic" w:hAnsi="Century Gothic"/>
        </w:rPr>
        <w:t xml:space="preserve"> asciende </w:t>
      </w:r>
      <w:r w:rsidRPr="005A60D7">
        <w:rPr>
          <w:rFonts w:ascii="Century Gothic" w:hAnsi="Century Gothic"/>
        </w:rPr>
        <w:t xml:space="preserve">a un monto </w:t>
      </w:r>
      <w:r>
        <w:rPr>
          <w:rFonts w:ascii="Century Gothic" w:hAnsi="Century Gothic"/>
        </w:rPr>
        <w:t>de</w:t>
      </w:r>
      <w:r w:rsidRPr="00923C35">
        <w:t xml:space="preserve"> </w:t>
      </w:r>
      <w:bookmarkStart w:id="1" w:name="_Hlk495869019"/>
      <w:bookmarkStart w:id="2" w:name="_Hlk495868947"/>
      <w:r w:rsidRPr="009D1D06">
        <w:rPr>
          <w:rFonts w:ascii="Century Gothic" w:hAnsi="Century Gothic"/>
          <w:b/>
        </w:rPr>
        <w:t xml:space="preserve"> </w:t>
      </w:r>
      <w:r>
        <w:rPr>
          <w:rFonts w:ascii="Century Gothic" w:hAnsi="Century Gothic"/>
          <w:b/>
        </w:rPr>
        <w:t>$</w:t>
      </w:r>
      <w:r w:rsidRPr="009D1D06">
        <w:rPr>
          <w:rFonts w:ascii="Century Gothic" w:hAnsi="Century Gothic"/>
          <w:b/>
        </w:rPr>
        <w:t xml:space="preserve">6,926,417,238.74 </w:t>
      </w:r>
      <w:r w:rsidRPr="00923C35">
        <w:rPr>
          <w:rFonts w:ascii="Century Gothic" w:hAnsi="Century Gothic"/>
          <w:b/>
        </w:rPr>
        <w:t>(</w:t>
      </w:r>
      <w:r>
        <w:rPr>
          <w:rFonts w:ascii="Century Gothic" w:hAnsi="Century Gothic"/>
          <w:b/>
        </w:rPr>
        <w:t>Seis mil noveciento</w:t>
      </w:r>
      <w:r w:rsidR="006E5EE7">
        <w:rPr>
          <w:rFonts w:ascii="Century Gothic" w:hAnsi="Century Gothic"/>
          <w:b/>
        </w:rPr>
        <w:t>s veintiséis millones cuatrocientos</w:t>
      </w:r>
      <w:r>
        <w:rPr>
          <w:rFonts w:ascii="Century Gothic" w:hAnsi="Century Gothic"/>
          <w:b/>
        </w:rPr>
        <w:t xml:space="preserve"> diecisiete mil doscientos treinta y ocho pesos 74</w:t>
      </w:r>
      <w:r w:rsidRPr="00923C35">
        <w:rPr>
          <w:rFonts w:ascii="Century Gothic" w:hAnsi="Century Gothic"/>
          <w:b/>
        </w:rPr>
        <w:t>/100 Moneda Nacional)</w:t>
      </w:r>
      <w:bookmarkEnd w:id="1"/>
      <w:r w:rsidRPr="00923C35">
        <w:rPr>
          <w:rFonts w:ascii="Century Gothic" w:hAnsi="Century Gothic"/>
          <w:b/>
        </w:rPr>
        <w:t>,</w:t>
      </w:r>
      <w:r w:rsidRPr="00923C35">
        <w:rPr>
          <w:rFonts w:ascii="Century Gothic" w:hAnsi="Century Gothic"/>
        </w:rPr>
        <w:t xml:space="preserve"> de los cuales </w:t>
      </w:r>
      <w:r w:rsidRPr="00923C35">
        <w:t xml:space="preserve"> </w:t>
      </w:r>
      <w:r w:rsidRPr="009D1D06">
        <w:rPr>
          <w:rFonts w:ascii="Century Gothic" w:hAnsi="Century Gothic"/>
          <w:b/>
        </w:rPr>
        <w:t xml:space="preserve">$6,596,587,846.42 </w:t>
      </w:r>
      <w:r w:rsidRPr="00923C35">
        <w:rPr>
          <w:rFonts w:ascii="Century Gothic" w:hAnsi="Century Gothic"/>
          <w:b/>
        </w:rPr>
        <w:t>(</w:t>
      </w:r>
      <w:r>
        <w:rPr>
          <w:rFonts w:ascii="Century Gothic" w:hAnsi="Century Gothic"/>
          <w:b/>
        </w:rPr>
        <w:t>Seis mil quinientos noventa y seis millones quinientos ochenta y siete mil ochocientos cuarenta y seis</w:t>
      </w:r>
      <w:r w:rsidRPr="00923C35">
        <w:rPr>
          <w:rFonts w:ascii="Century Gothic" w:hAnsi="Century Gothic"/>
          <w:b/>
        </w:rPr>
        <w:t xml:space="preserve"> pesos </w:t>
      </w:r>
      <w:r>
        <w:rPr>
          <w:rFonts w:ascii="Century Gothic" w:hAnsi="Century Gothic"/>
          <w:b/>
        </w:rPr>
        <w:t>42</w:t>
      </w:r>
      <w:r w:rsidRPr="00923C35">
        <w:rPr>
          <w:rFonts w:ascii="Century Gothic" w:hAnsi="Century Gothic"/>
          <w:b/>
        </w:rPr>
        <w:t>/100 Moneda Nacional)</w:t>
      </w:r>
      <w:r w:rsidRPr="00923C35">
        <w:rPr>
          <w:rFonts w:ascii="Century Gothic" w:hAnsi="Century Gothic"/>
        </w:rPr>
        <w:t xml:space="preserve"> representan los ingresos presupuestados antes del financiamiento y </w:t>
      </w:r>
      <w:r>
        <w:rPr>
          <w:rFonts w:ascii="Century Gothic" w:hAnsi="Century Gothic"/>
          <w:b/>
        </w:rPr>
        <w:t>$</w:t>
      </w:r>
      <w:r w:rsidR="008D7D5A">
        <w:rPr>
          <w:rFonts w:ascii="Century Gothic" w:hAnsi="Century Gothic"/>
          <w:b/>
        </w:rPr>
        <w:t xml:space="preserve">329,829,392.32 </w:t>
      </w:r>
      <w:r w:rsidRPr="00923C35">
        <w:rPr>
          <w:rFonts w:ascii="Century Gothic" w:hAnsi="Century Gothic"/>
          <w:b/>
        </w:rPr>
        <w:t>(</w:t>
      </w:r>
      <w:r>
        <w:rPr>
          <w:rFonts w:ascii="Century Gothic" w:hAnsi="Century Gothic"/>
          <w:b/>
        </w:rPr>
        <w:t>Trescientos veintinueve millones ochocientos veintinueve mil trescientos noventa y dos</w:t>
      </w:r>
      <w:r w:rsidRPr="00923C35">
        <w:rPr>
          <w:rFonts w:ascii="Century Gothic" w:hAnsi="Century Gothic"/>
          <w:b/>
        </w:rPr>
        <w:t xml:space="preserve"> pesos </w:t>
      </w:r>
      <w:r>
        <w:rPr>
          <w:rFonts w:ascii="Century Gothic" w:hAnsi="Century Gothic"/>
          <w:b/>
        </w:rPr>
        <w:t>32</w:t>
      </w:r>
      <w:r w:rsidRPr="00923C35">
        <w:rPr>
          <w:rFonts w:ascii="Century Gothic" w:hAnsi="Century Gothic"/>
          <w:b/>
        </w:rPr>
        <w:t>/100 Moneda Nacional</w:t>
      </w:r>
      <w:r>
        <w:rPr>
          <w:rFonts w:ascii="Century Gothic" w:hAnsi="Century Gothic"/>
          <w:b/>
        </w:rPr>
        <w:t>)</w:t>
      </w:r>
      <w:r w:rsidRPr="00923C35">
        <w:rPr>
          <w:rFonts w:ascii="Century Gothic" w:hAnsi="Century Gothic"/>
        </w:rPr>
        <w:t xml:space="preserve"> </w:t>
      </w:r>
      <w:bookmarkEnd w:id="2"/>
      <w:r w:rsidRPr="00923C35">
        <w:rPr>
          <w:rFonts w:ascii="Century Gothic" w:hAnsi="Century Gothic"/>
        </w:rPr>
        <w:t xml:space="preserve">representan la propuesta de contratación de </w:t>
      </w:r>
      <w:r w:rsidR="00D8206C">
        <w:rPr>
          <w:rFonts w:ascii="Century Gothic" w:hAnsi="Century Gothic"/>
        </w:rPr>
        <w:t>financiamiento</w:t>
      </w:r>
      <w:r w:rsidR="006E5EE7">
        <w:rPr>
          <w:rFonts w:ascii="Century Gothic" w:hAnsi="Century Gothic"/>
        </w:rPr>
        <w:t>.</w:t>
      </w:r>
    </w:p>
    <w:p w:rsidR="00063938" w:rsidRPr="0050035B" w:rsidRDefault="00063938" w:rsidP="00E55120">
      <w:pPr>
        <w:spacing w:line="360" w:lineRule="auto"/>
        <w:jc w:val="both"/>
        <w:rPr>
          <w:rFonts w:ascii="Century Gothic" w:hAnsi="Century Gothic"/>
          <w:lang w:val="es-MX"/>
        </w:rPr>
      </w:pPr>
    </w:p>
    <w:p w:rsidR="0050035B" w:rsidRPr="00993079" w:rsidRDefault="0050035B" w:rsidP="0050035B">
      <w:pPr>
        <w:spacing w:line="360" w:lineRule="auto"/>
        <w:ind w:firstLine="720"/>
        <w:jc w:val="both"/>
        <w:rPr>
          <w:rFonts w:ascii="Century Gothic" w:hAnsi="Century Gothic"/>
        </w:rPr>
      </w:pPr>
      <w:r w:rsidRPr="00E276F6">
        <w:rPr>
          <w:rFonts w:ascii="Century Gothic" w:hAnsi="Century Gothic"/>
        </w:rPr>
        <w:t>A continuación, se hace un análisis de los instrumentos utilizados para generar la proyección aquí presentada, además un análisis de los principales criterios que justifican y componen dicha proyección, para terminar con un desglose de las cantidades y conceptos bajo los cuales se fundamenta.</w:t>
      </w:r>
      <w:r w:rsidRPr="00993079">
        <w:rPr>
          <w:rFonts w:ascii="Century Gothic" w:hAnsi="Century Gothic"/>
        </w:rPr>
        <w:t xml:space="preserve"> </w:t>
      </w:r>
    </w:p>
    <w:p w:rsidR="00DF31E3" w:rsidRPr="0050035B" w:rsidRDefault="00DF31E3" w:rsidP="00E855EC">
      <w:pPr>
        <w:spacing w:line="360" w:lineRule="auto"/>
        <w:ind w:firstLine="720"/>
        <w:jc w:val="both"/>
        <w:rPr>
          <w:rFonts w:ascii="Century Gothic" w:hAnsi="Century Gothic"/>
          <w:lang w:val="es-MX"/>
        </w:rPr>
      </w:pPr>
    </w:p>
    <w:p w:rsidR="000A515C" w:rsidRPr="0050035B" w:rsidRDefault="00E17F3E" w:rsidP="00063938">
      <w:pPr>
        <w:spacing w:line="360" w:lineRule="auto"/>
        <w:ind w:left="720" w:hanging="720"/>
        <w:jc w:val="both"/>
        <w:rPr>
          <w:rFonts w:ascii="Century Gothic" w:hAnsi="Century Gothic"/>
          <w:b/>
          <w:lang w:val="es-MX"/>
        </w:rPr>
      </w:pPr>
      <w:r w:rsidRPr="0050035B">
        <w:rPr>
          <w:rFonts w:ascii="Century Gothic" w:eastAsiaTheme="minorHAnsi" w:hAnsi="Century Gothic"/>
          <w:b/>
          <w:lang w:val="es-MX"/>
        </w:rPr>
        <w:t>3</w:t>
      </w:r>
      <w:r w:rsidR="00C82F72">
        <w:rPr>
          <w:rFonts w:ascii="Century Gothic" w:eastAsiaTheme="minorHAnsi" w:hAnsi="Century Gothic"/>
          <w:b/>
          <w:lang w:val="es-MX"/>
        </w:rPr>
        <w:t>.3</w:t>
      </w:r>
      <w:r w:rsidR="000D24A0" w:rsidRPr="0050035B">
        <w:rPr>
          <w:rFonts w:ascii="Century Gothic" w:eastAsiaTheme="minorHAnsi" w:hAnsi="Century Gothic"/>
          <w:b/>
          <w:lang w:val="es-MX"/>
        </w:rPr>
        <w:t>.</w:t>
      </w:r>
      <w:r w:rsidR="000A515C" w:rsidRPr="0050035B">
        <w:rPr>
          <w:rFonts w:ascii="Century Gothic" w:eastAsiaTheme="minorHAnsi" w:hAnsi="Century Gothic"/>
          <w:b/>
          <w:lang w:val="es-MX"/>
        </w:rPr>
        <w:t xml:space="preserve"> </w:t>
      </w:r>
      <w:r w:rsidRPr="0050035B">
        <w:rPr>
          <w:rFonts w:ascii="Century Gothic" w:eastAsiaTheme="minorHAnsi" w:hAnsi="Century Gothic"/>
          <w:b/>
          <w:lang w:val="es-MX"/>
        </w:rPr>
        <w:t>Comportamiento</w:t>
      </w:r>
      <w:r w:rsidR="00840309" w:rsidRPr="0050035B">
        <w:rPr>
          <w:rFonts w:ascii="Century Gothic" w:hAnsi="Century Gothic"/>
          <w:b/>
          <w:lang w:val="es-MX"/>
        </w:rPr>
        <w:t xml:space="preserve"> histórico de los Ingresos</w:t>
      </w:r>
    </w:p>
    <w:p w:rsidR="007A3904" w:rsidRDefault="00E276F6" w:rsidP="008D7D5A">
      <w:pPr>
        <w:spacing w:line="360" w:lineRule="auto"/>
        <w:jc w:val="both"/>
        <w:rPr>
          <w:rFonts w:ascii="Century Gothic" w:eastAsiaTheme="minorHAnsi" w:hAnsi="Century Gothic"/>
          <w:lang w:val="es-MX"/>
        </w:rPr>
      </w:pPr>
      <w:r>
        <w:rPr>
          <w:rFonts w:ascii="Century Gothic" w:eastAsiaTheme="minorHAnsi" w:hAnsi="Century Gothic"/>
          <w:lang w:val="es-MX"/>
        </w:rPr>
        <w:t>En esta sección se puede apreciar el comportamiento histórico de los ingresos</w:t>
      </w:r>
      <w:r w:rsidRPr="00E276F6">
        <w:rPr>
          <w:rFonts w:ascii="Century Gothic" w:eastAsiaTheme="minorHAnsi" w:hAnsi="Century Gothic"/>
          <w:lang w:val="es-MX"/>
        </w:rPr>
        <w:t xml:space="preserve"> </w:t>
      </w:r>
      <w:r w:rsidRPr="0050035B">
        <w:rPr>
          <w:rFonts w:ascii="Century Gothic" w:eastAsiaTheme="minorHAnsi" w:hAnsi="Century Gothic"/>
          <w:lang w:val="es-MX"/>
        </w:rPr>
        <w:t>que el Municipio de Monterrey ha tenido</w:t>
      </w:r>
      <w:r>
        <w:rPr>
          <w:rFonts w:ascii="Century Gothic" w:eastAsiaTheme="minorHAnsi" w:hAnsi="Century Gothic"/>
          <w:lang w:val="es-MX"/>
        </w:rPr>
        <w:t xml:space="preserve"> durante los últimos 5 años (ver tabla 3.1 y gráfica 3.1). La información obtenida con base a estos datos </w:t>
      </w:r>
      <w:r>
        <w:rPr>
          <w:rFonts w:ascii="Century Gothic" w:eastAsiaTheme="minorHAnsi" w:hAnsi="Century Gothic"/>
          <w:lang w:val="es-MX"/>
        </w:rPr>
        <w:lastRenderedPageBreak/>
        <w:t>permite visualizar que,</w:t>
      </w:r>
      <w:r w:rsidR="006E5EE7">
        <w:rPr>
          <w:rFonts w:ascii="Century Gothic" w:eastAsiaTheme="minorHAnsi" w:hAnsi="Century Gothic"/>
          <w:lang w:val="es-MX"/>
        </w:rPr>
        <w:t xml:space="preserve"> s</w:t>
      </w:r>
      <w:r>
        <w:rPr>
          <w:rFonts w:ascii="Century Gothic" w:eastAsiaTheme="minorHAnsi" w:hAnsi="Century Gothic"/>
          <w:lang w:val="es-MX"/>
        </w:rPr>
        <w:t xml:space="preserve">i bien es cierto que existe un incremento generalizado derivado de las acciones realizadas para fortalecer </w:t>
      </w:r>
      <w:r w:rsidR="007554E3" w:rsidRPr="0050035B">
        <w:rPr>
          <w:rFonts w:ascii="Century Gothic" w:eastAsiaTheme="minorHAnsi" w:hAnsi="Century Gothic"/>
          <w:lang w:val="es-MX"/>
        </w:rPr>
        <w:t>la Hacienda Pública Municipal, también debe puntualizarse que han existido incrementos en las recepciones de recursos federales y estatales, etiquetados o no para su uso</w:t>
      </w:r>
      <w:r>
        <w:rPr>
          <w:rFonts w:ascii="Century Gothic" w:eastAsiaTheme="minorHAnsi" w:hAnsi="Century Gothic"/>
          <w:lang w:val="es-MX"/>
        </w:rPr>
        <w:t>;</w:t>
      </w:r>
      <w:r w:rsidR="000203F5" w:rsidRPr="0050035B">
        <w:rPr>
          <w:rFonts w:ascii="Century Gothic" w:eastAsiaTheme="minorHAnsi" w:hAnsi="Century Gothic"/>
          <w:lang w:val="es-MX"/>
        </w:rPr>
        <w:t xml:space="preserve"> sin embargo, a causa del complejo contexto socioeconómico nacional y local las proyecciones para el ejercicio 202</w:t>
      </w:r>
      <w:r w:rsidR="00D17CF9">
        <w:rPr>
          <w:rFonts w:ascii="Century Gothic" w:eastAsiaTheme="minorHAnsi" w:hAnsi="Century Gothic"/>
          <w:lang w:val="es-MX"/>
        </w:rPr>
        <w:t>2</w:t>
      </w:r>
      <w:r w:rsidR="000203F5" w:rsidRPr="0050035B">
        <w:rPr>
          <w:rFonts w:ascii="Century Gothic" w:eastAsiaTheme="minorHAnsi" w:hAnsi="Century Gothic"/>
          <w:lang w:val="es-MX"/>
        </w:rPr>
        <w:t xml:space="preserve"> se mantienen </w:t>
      </w:r>
      <w:r>
        <w:rPr>
          <w:rFonts w:ascii="Century Gothic" w:eastAsiaTheme="minorHAnsi" w:hAnsi="Century Gothic"/>
          <w:lang w:val="es-MX"/>
        </w:rPr>
        <w:t>mesuradas</w:t>
      </w:r>
      <w:r w:rsidR="000203F5" w:rsidRPr="0050035B">
        <w:rPr>
          <w:rFonts w:ascii="Century Gothic" w:eastAsiaTheme="minorHAnsi" w:hAnsi="Century Gothic"/>
          <w:lang w:val="es-MX"/>
        </w:rPr>
        <w:t>.</w:t>
      </w:r>
      <w:r w:rsidR="00715F8A" w:rsidRPr="0050035B">
        <w:rPr>
          <w:rFonts w:ascii="Century Gothic" w:eastAsiaTheme="minorHAnsi" w:hAnsi="Century Gothic"/>
          <w:lang w:val="es-MX"/>
        </w:rPr>
        <w:t xml:space="preserve"> </w:t>
      </w:r>
    </w:p>
    <w:p w:rsidR="008D7D5A" w:rsidRPr="008D7D5A" w:rsidRDefault="008D7D5A" w:rsidP="008D7D5A">
      <w:pPr>
        <w:spacing w:line="360" w:lineRule="auto"/>
        <w:jc w:val="both"/>
        <w:rPr>
          <w:rFonts w:ascii="Century Gothic" w:eastAsiaTheme="minorHAnsi" w:hAnsi="Century Gothic"/>
          <w:lang w:val="es-MX"/>
        </w:rPr>
      </w:pPr>
    </w:p>
    <w:p w:rsidR="007554E3" w:rsidRPr="0050035B" w:rsidRDefault="007554E3" w:rsidP="007554E3">
      <w:pPr>
        <w:jc w:val="center"/>
        <w:rPr>
          <w:rFonts w:ascii="Century Gothic" w:hAnsi="Century Gothic"/>
          <w:sz w:val="22"/>
          <w:szCs w:val="22"/>
          <w:lang w:val="es-MX"/>
        </w:rPr>
      </w:pPr>
      <w:r w:rsidRPr="0050035B">
        <w:rPr>
          <w:rFonts w:ascii="Century Gothic" w:hAnsi="Century Gothic"/>
          <w:b/>
          <w:sz w:val="22"/>
          <w:szCs w:val="22"/>
          <w:lang w:val="es-MX"/>
        </w:rPr>
        <w:t xml:space="preserve">Tabla 3.1. </w:t>
      </w:r>
      <w:r w:rsidRPr="0050035B">
        <w:rPr>
          <w:rFonts w:ascii="Century Gothic" w:hAnsi="Century Gothic"/>
          <w:sz w:val="22"/>
          <w:szCs w:val="22"/>
          <w:lang w:val="es-MX"/>
        </w:rPr>
        <w:t>Crecimiento histórico de los Ingresos aprobados</w:t>
      </w:r>
    </w:p>
    <w:p w:rsidR="007554E3" w:rsidRPr="0050035B" w:rsidRDefault="007554E3" w:rsidP="007554E3">
      <w:pPr>
        <w:ind w:left="-142" w:right="26"/>
        <w:jc w:val="center"/>
        <w:rPr>
          <w:rFonts w:ascii="Century Gothic" w:hAnsi="Century Gothic"/>
          <w:sz w:val="22"/>
          <w:szCs w:val="22"/>
          <w:lang w:val="es-MX"/>
        </w:rPr>
      </w:pPr>
      <w:r w:rsidRPr="0050035B">
        <w:rPr>
          <w:rFonts w:ascii="Century Gothic" w:hAnsi="Century Gothic"/>
          <w:sz w:val="22"/>
          <w:szCs w:val="22"/>
          <w:lang w:val="es-MX"/>
        </w:rPr>
        <w:t>para el Municipio de Monterrey</w:t>
      </w:r>
    </w:p>
    <w:tbl>
      <w:tblPr>
        <w:tblpPr w:leftFromText="141" w:rightFromText="141" w:vertAnchor="text" w:horzAnchor="margin" w:tblpXSpec="center" w:tblpY="181"/>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1"/>
        <w:gridCol w:w="2860"/>
        <w:gridCol w:w="1701"/>
      </w:tblGrid>
      <w:tr w:rsidR="007554E3" w:rsidRPr="0050035B" w:rsidTr="00E44364">
        <w:trPr>
          <w:trHeight w:val="695"/>
        </w:trPr>
        <w:tc>
          <w:tcPr>
            <w:tcW w:w="1671" w:type="dxa"/>
            <w:shd w:val="clear" w:color="auto" w:fill="FABF8F" w:themeFill="accent6" w:themeFillTint="99"/>
            <w:noWrap/>
            <w:vAlign w:val="center"/>
            <w:hideMark/>
          </w:tcPr>
          <w:p w:rsidR="007554E3" w:rsidRPr="0050035B" w:rsidRDefault="007554E3" w:rsidP="00BF2D03">
            <w:pPr>
              <w:jc w:val="center"/>
              <w:rPr>
                <w:rFonts w:ascii="Century Gothic" w:hAnsi="Century Gothic"/>
                <w:b/>
                <w:lang w:val="es-MX"/>
              </w:rPr>
            </w:pPr>
            <w:r w:rsidRPr="0050035B">
              <w:rPr>
                <w:rFonts w:ascii="Century Gothic" w:hAnsi="Century Gothic"/>
                <w:b/>
                <w:lang w:val="es-MX"/>
              </w:rPr>
              <w:t>Año fiscal</w:t>
            </w:r>
          </w:p>
        </w:tc>
        <w:tc>
          <w:tcPr>
            <w:tcW w:w="2860" w:type="dxa"/>
            <w:shd w:val="clear" w:color="auto" w:fill="FABF8F" w:themeFill="accent6" w:themeFillTint="99"/>
            <w:noWrap/>
            <w:vAlign w:val="center"/>
            <w:hideMark/>
          </w:tcPr>
          <w:p w:rsidR="007554E3" w:rsidRPr="0050035B" w:rsidRDefault="007554E3" w:rsidP="00BF2D03">
            <w:pPr>
              <w:jc w:val="center"/>
              <w:rPr>
                <w:rFonts w:ascii="Century Gothic" w:hAnsi="Century Gothic"/>
                <w:b/>
                <w:lang w:val="es-MX"/>
              </w:rPr>
            </w:pPr>
            <w:r w:rsidRPr="0050035B">
              <w:rPr>
                <w:rFonts w:ascii="Century Gothic" w:hAnsi="Century Gothic"/>
                <w:b/>
                <w:lang w:val="es-MX"/>
              </w:rPr>
              <w:t>Ingresos</w:t>
            </w:r>
          </w:p>
          <w:p w:rsidR="007554E3" w:rsidRPr="0050035B" w:rsidRDefault="007554E3" w:rsidP="00BF2D03">
            <w:pPr>
              <w:jc w:val="center"/>
              <w:rPr>
                <w:rFonts w:ascii="Century Gothic" w:hAnsi="Century Gothic"/>
                <w:b/>
                <w:lang w:val="es-MX"/>
              </w:rPr>
            </w:pPr>
            <w:r w:rsidRPr="0050035B">
              <w:rPr>
                <w:rFonts w:ascii="Century Gothic" w:hAnsi="Century Gothic"/>
                <w:b/>
                <w:lang w:val="es-MX"/>
              </w:rPr>
              <w:t>Aprobados</w:t>
            </w:r>
          </w:p>
        </w:tc>
        <w:tc>
          <w:tcPr>
            <w:tcW w:w="1701" w:type="dxa"/>
            <w:shd w:val="clear" w:color="auto" w:fill="FABF8F" w:themeFill="accent6" w:themeFillTint="99"/>
            <w:noWrap/>
            <w:vAlign w:val="center"/>
            <w:hideMark/>
          </w:tcPr>
          <w:p w:rsidR="007554E3" w:rsidRPr="0050035B" w:rsidRDefault="007554E3" w:rsidP="00BF2D03">
            <w:pPr>
              <w:jc w:val="center"/>
              <w:rPr>
                <w:rFonts w:ascii="Century Gothic" w:hAnsi="Century Gothic"/>
                <w:b/>
                <w:lang w:val="es-MX"/>
              </w:rPr>
            </w:pPr>
            <w:r w:rsidRPr="0050035B">
              <w:rPr>
                <w:rFonts w:ascii="Century Gothic" w:hAnsi="Century Gothic"/>
                <w:b/>
                <w:lang w:val="es-MX"/>
              </w:rPr>
              <w:t>Tasa de Crecimiento</w:t>
            </w:r>
          </w:p>
        </w:tc>
      </w:tr>
      <w:tr w:rsidR="007554E3" w:rsidRPr="0050035B" w:rsidTr="00BF2D03">
        <w:trPr>
          <w:trHeight w:val="418"/>
        </w:trPr>
        <w:tc>
          <w:tcPr>
            <w:tcW w:w="1671" w:type="dxa"/>
            <w:shd w:val="clear" w:color="auto" w:fill="A6A6A6" w:themeFill="background1" w:themeFillShade="A6"/>
            <w:noWrap/>
            <w:vAlign w:val="center"/>
          </w:tcPr>
          <w:p w:rsidR="007554E3" w:rsidRPr="0050035B" w:rsidRDefault="007554E3" w:rsidP="00BF2D03">
            <w:pPr>
              <w:jc w:val="center"/>
              <w:rPr>
                <w:rFonts w:ascii="Century Gothic" w:hAnsi="Century Gothic"/>
                <w:b/>
                <w:lang w:val="es-MX"/>
              </w:rPr>
            </w:pPr>
            <w:r w:rsidRPr="0050035B">
              <w:rPr>
                <w:rFonts w:ascii="Century Gothic" w:hAnsi="Century Gothic"/>
                <w:b/>
                <w:lang w:val="es-MX"/>
              </w:rPr>
              <w:t>2018</w:t>
            </w:r>
          </w:p>
        </w:tc>
        <w:tc>
          <w:tcPr>
            <w:tcW w:w="2860" w:type="dxa"/>
            <w:shd w:val="clear" w:color="auto" w:fill="auto"/>
            <w:noWrap/>
            <w:vAlign w:val="center"/>
          </w:tcPr>
          <w:p w:rsidR="007554E3" w:rsidRPr="0050035B" w:rsidRDefault="007554E3" w:rsidP="00BF2D03">
            <w:pPr>
              <w:jc w:val="center"/>
              <w:rPr>
                <w:rFonts w:ascii="Century Gothic" w:hAnsi="Century Gothic"/>
                <w:lang w:val="es-MX"/>
              </w:rPr>
            </w:pPr>
            <w:r w:rsidRPr="0050035B">
              <w:rPr>
                <w:rFonts w:ascii="Century Gothic" w:hAnsi="Century Gothic"/>
                <w:lang w:val="es-MX"/>
              </w:rPr>
              <w:t>$6,103,708,236.71</w:t>
            </w:r>
          </w:p>
        </w:tc>
        <w:tc>
          <w:tcPr>
            <w:tcW w:w="1701" w:type="dxa"/>
            <w:shd w:val="clear" w:color="auto" w:fill="auto"/>
            <w:noWrap/>
            <w:vAlign w:val="center"/>
          </w:tcPr>
          <w:p w:rsidR="007554E3" w:rsidRPr="0050035B" w:rsidRDefault="007554E3" w:rsidP="00BF2D03">
            <w:pPr>
              <w:jc w:val="center"/>
              <w:rPr>
                <w:rFonts w:ascii="Century Gothic" w:hAnsi="Century Gothic"/>
                <w:lang w:val="es-MX"/>
              </w:rPr>
            </w:pPr>
            <w:r w:rsidRPr="0050035B">
              <w:rPr>
                <w:rFonts w:ascii="Century Gothic" w:hAnsi="Century Gothic"/>
                <w:lang w:val="es-MX"/>
              </w:rPr>
              <w:t>11.23%</w:t>
            </w:r>
          </w:p>
        </w:tc>
      </w:tr>
      <w:tr w:rsidR="007554E3" w:rsidRPr="0050035B" w:rsidTr="00BF2D03">
        <w:trPr>
          <w:trHeight w:val="418"/>
        </w:trPr>
        <w:tc>
          <w:tcPr>
            <w:tcW w:w="1671" w:type="dxa"/>
            <w:shd w:val="clear" w:color="auto" w:fill="A6A6A6" w:themeFill="background1" w:themeFillShade="A6"/>
            <w:noWrap/>
            <w:vAlign w:val="center"/>
          </w:tcPr>
          <w:p w:rsidR="007554E3" w:rsidRPr="0050035B" w:rsidRDefault="007554E3" w:rsidP="00BF2D03">
            <w:pPr>
              <w:jc w:val="center"/>
              <w:rPr>
                <w:rFonts w:ascii="Century Gothic" w:hAnsi="Century Gothic"/>
                <w:b/>
                <w:lang w:val="es-MX"/>
              </w:rPr>
            </w:pPr>
            <w:r w:rsidRPr="0050035B">
              <w:rPr>
                <w:rFonts w:ascii="Century Gothic" w:hAnsi="Century Gothic"/>
                <w:b/>
                <w:lang w:val="es-MX"/>
              </w:rPr>
              <w:t>2019</w:t>
            </w:r>
          </w:p>
        </w:tc>
        <w:tc>
          <w:tcPr>
            <w:tcW w:w="2860" w:type="dxa"/>
            <w:shd w:val="clear" w:color="auto" w:fill="auto"/>
            <w:noWrap/>
            <w:vAlign w:val="center"/>
          </w:tcPr>
          <w:p w:rsidR="007554E3" w:rsidRPr="0050035B" w:rsidRDefault="007554E3" w:rsidP="00BF2D03">
            <w:pPr>
              <w:jc w:val="center"/>
              <w:rPr>
                <w:rFonts w:ascii="Century Gothic" w:hAnsi="Century Gothic"/>
                <w:lang w:val="es-MX"/>
              </w:rPr>
            </w:pPr>
            <w:r w:rsidRPr="0050035B">
              <w:rPr>
                <w:rFonts w:ascii="Century Gothic" w:hAnsi="Century Gothic"/>
                <w:lang w:val="es-MX"/>
              </w:rPr>
              <w:t>$6,367,498,540.33</w:t>
            </w:r>
          </w:p>
        </w:tc>
        <w:tc>
          <w:tcPr>
            <w:tcW w:w="1701" w:type="dxa"/>
            <w:shd w:val="clear" w:color="auto" w:fill="auto"/>
            <w:noWrap/>
            <w:vAlign w:val="center"/>
          </w:tcPr>
          <w:p w:rsidR="007554E3" w:rsidRPr="0050035B" w:rsidRDefault="007554E3" w:rsidP="00BF2D03">
            <w:pPr>
              <w:jc w:val="center"/>
              <w:rPr>
                <w:rFonts w:ascii="Century Gothic" w:hAnsi="Century Gothic"/>
                <w:lang w:val="es-MX"/>
              </w:rPr>
            </w:pPr>
            <w:r w:rsidRPr="0050035B">
              <w:rPr>
                <w:rFonts w:ascii="Century Gothic" w:hAnsi="Century Gothic"/>
                <w:lang w:val="es-MX"/>
              </w:rPr>
              <w:t>4.32%</w:t>
            </w:r>
          </w:p>
        </w:tc>
      </w:tr>
      <w:tr w:rsidR="007554E3" w:rsidRPr="0050035B" w:rsidTr="00BF2D03">
        <w:trPr>
          <w:trHeight w:val="418"/>
        </w:trPr>
        <w:tc>
          <w:tcPr>
            <w:tcW w:w="1671" w:type="dxa"/>
            <w:shd w:val="clear" w:color="auto" w:fill="A6A6A6" w:themeFill="background1" w:themeFillShade="A6"/>
            <w:noWrap/>
            <w:vAlign w:val="center"/>
          </w:tcPr>
          <w:p w:rsidR="007554E3" w:rsidRPr="0050035B" w:rsidRDefault="000203F5" w:rsidP="00BF2D03">
            <w:pPr>
              <w:jc w:val="center"/>
              <w:rPr>
                <w:rFonts w:ascii="Century Gothic" w:hAnsi="Century Gothic"/>
                <w:b/>
                <w:lang w:val="es-MX"/>
              </w:rPr>
            </w:pPr>
            <w:r w:rsidRPr="0050035B">
              <w:rPr>
                <w:rFonts w:ascii="Century Gothic" w:hAnsi="Century Gothic"/>
                <w:b/>
                <w:lang w:val="es-MX"/>
              </w:rPr>
              <w:t>2020</w:t>
            </w:r>
          </w:p>
        </w:tc>
        <w:tc>
          <w:tcPr>
            <w:tcW w:w="2860" w:type="dxa"/>
            <w:shd w:val="clear" w:color="auto" w:fill="auto"/>
            <w:noWrap/>
          </w:tcPr>
          <w:p w:rsidR="007554E3" w:rsidRPr="0050035B" w:rsidRDefault="007554E3" w:rsidP="00BF2D03">
            <w:pPr>
              <w:jc w:val="center"/>
              <w:rPr>
                <w:rFonts w:ascii="Century Gothic" w:hAnsi="Century Gothic"/>
                <w:lang w:val="es-MX"/>
              </w:rPr>
            </w:pPr>
            <w:r w:rsidRPr="0050035B">
              <w:rPr>
                <w:rFonts w:ascii="Century Gothic" w:hAnsi="Century Gothic"/>
                <w:lang w:val="es-MX"/>
              </w:rPr>
              <w:t>$6,738,264,108.77</w:t>
            </w:r>
          </w:p>
        </w:tc>
        <w:tc>
          <w:tcPr>
            <w:tcW w:w="1701" w:type="dxa"/>
            <w:shd w:val="clear" w:color="auto" w:fill="auto"/>
            <w:noWrap/>
          </w:tcPr>
          <w:p w:rsidR="007554E3" w:rsidRPr="0050035B" w:rsidRDefault="007554E3" w:rsidP="00BF2D03">
            <w:pPr>
              <w:jc w:val="center"/>
              <w:rPr>
                <w:rFonts w:ascii="Century Gothic" w:hAnsi="Century Gothic"/>
                <w:lang w:val="es-MX"/>
              </w:rPr>
            </w:pPr>
            <w:r w:rsidRPr="0050035B">
              <w:rPr>
                <w:rFonts w:ascii="Century Gothic" w:hAnsi="Century Gothic"/>
                <w:lang w:val="es-MX"/>
              </w:rPr>
              <w:t>5.82%</w:t>
            </w:r>
          </w:p>
        </w:tc>
      </w:tr>
      <w:tr w:rsidR="00681857" w:rsidRPr="0050035B" w:rsidTr="00C95B5B">
        <w:trPr>
          <w:trHeight w:val="418"/>
        </w:trPr>
        <w:tc>
          <w:tcPr>
            <w:tcW w:w="1671" w:type="dxa"/>
            <w:shd w:val="clear" w:color="auto" w:fill="A6A6A6" w:themeFill="background1" w:themeFillShade="A6"/>
            <w:noWrap/>
            <w:vAlign w:val="center"/>
          </w:tcPr>
          <w:p w:rsidR="00681857" w:rsidRPr="0050035B" w:rsidRDefault="00681857" w:rsidP="006E5EE7">
            <w:pPr>
              <w:jc w:val="center"/>
              <w:rPr>
                <w:rFonts w:ascii="Century Gothic" w:hAnsi="Century Gothic"/>
                <w:b/>
                <w:lang w:val="es-MX"/>
              </w:rPr>
            </w:pPr>
            <w:r w:rsidRPr="0050035B">
              <w:rPr>
                <w:rFonts w:ascii="Century Gothic" w:hAnsi="Century Gothic"/>
                <w:b/>
                <w:lang w:val="es-MX"/>
              </w:rPr>
              <w:t>2021</w:t>
            </w:r>
          </w:p>
        </w:tc>
        <w:tc>
          <w:tcPr>
            <w:tcW w:w="2860" w:type="dxa"/>
            <w:shd w:val="clear" w:color="auto" w:fill="auto"/>
            <w:noWrap/>
            <w:vAlign w:val="center"/>
          </w:tcPr>
          <w:p w:rsidR="00681857" w:rsidRPr="0050035B" w:rsidRDefault="00681857" w:rsidP="00681857">
            <w:pPr>
              <w:rPr>
                <w:rFonts w:ascii="Century Gothic" w:hAnsi="Century Gothic"/>
                <w:lang w:val="es-MX"/>
              </w:rPr>
            </w:pPr>
            <w:r w:rsidRPr="00681857">
              <w:rPr>
                <w:rFonts w:ascii="Century Gothic" w:hAnsi="Century Gothic"/>
                <w:lang w:val="es-MX"/>
              </w:rPr>
              <w:t xml:space="preserve">   </w:t>
            </w:r>
            <w:r>
              <w:rPr>
                <w:rFonts w:ascii="Century Gothic" w:hAnsi="Century Gothic"/>
                <w:lang w:val="es-MX"/>
              </w:rPr>
              <w:t xml:space="preserve"> </w:t>
            </w:r>
            <w:r w:rsidRPr="00681857">
              <w:rPr>
                <w:rFonts w:ascii="Century Gothic" w:hAnsi="Century Gothic"/>
                <w:lang w:val="es-MX"/>
              </w:rPr>
              <w:t xml:space="preserve"> </w:t>
            </w:r>
            <w:r w:rsidRPr="0050035B">
              <w:rPr>
                <w:rFonts w:ascii="Century Gothic" w:hAnsi="Century Gothic"/>
                <w:lang w:val="es-MX"/>
              </w:rPr>
              <w:t>$</w:t>
            </w:r>
            <w:r w:rsidRPr="00681857">
              <w:rPr>
                <w:rFonts w:ascii="Century Gothic" w:hAnsi="Century Gothic"/>
                <w:lang w:val="es-MX"/>
              </w:rPr>
              <w:t xml:space="preserve">6,498,422,896.10 </w:t>
            </w:r>
          </w:p>
        </w:tc>
        <w:tc>
          <w:tcPr>
            <w:tcW w:w="1701" w:type="dxa"/>
            <w:shd w:val="clear" w:color="auto" w:fill="auto"/>
            <w:noWrap/>
            <w:vAlign w:val="center"/>
          </w:tcPr>
          <w:p w:rsidR="00681857" w:rsidRPr="0050035B" w:rsidRDefault="00681857" w:rsidP="00681857">
            <w:pPr>
              <w:jc w:val="center"/>
              <w:rPr>
                <w:rFonts w:ascii="Century Gothic" w:hAnsi="Century Gothic"/>
                <w:lang w:val="es-MX"/>
              </w:rPr>
            </w:pPr>
            <w:r w:rsidRPr="00681857">
              <w:rPr>
                <w:rFonts w:ascii="Century Gothic" w:hAnsi="Century Gothic"/>
                <w:lang w:val="es-MX"/>
              </w:rPr>
              <w:t>-3.56%</w:t>
            </w:r>
          </w:p>
        </w:tc>
      </w:tr>
      <w:tr w:rsidR="00681857" w:rsidRPr="0050035B" w:rsidTr="00C95B5B">
        <w:trPr>
          <w:trHeight w:val="418"/>
        </w:trPr>
        <w:tc>
          <w:tcPr>
            <w:tcW w:w="1671" w:type="dxa"/>
            <w:shd w:val="clear" w:color="auto" w:fill="A6A6A6" w:themeFill="background1" w:themeFillShade="A6"/>
            <w:noWrap/>
            <w:vAlign w:val="center"/>
          </w:tcPr>
          <w:p w:rsidR="00681857" w:rsidRPr="0050035B" w:rsidRDefault="00681857" w:rsidP="00681857">
            <w:pPr>
              <w:jc w:val="center"/>
              <w:rPr>
                <w:rFonts w:ascii="Century Gothic" w:hAnsi="Century Gothic"/>
                <w:b/>
                <w:lang w:val="es-MX"/>
              </w:rPr>
            </w:pPr>
            <w:r>
              <w:rPr>
                <w:rFonts w:ascii="Century Gothic" w:hAnsi="Century Gothic"/>
                <w:b/>
                <w:lang w:val="es-MX"/>
              </w:rPr>
              <w:t>2022</w:t>
            </w:r>
            <w:r w:rsidR="006E5EE7">
              <w:rPr>
                <w:rFonts w:ascii="Century Gothic" w:hAnsi="Century Gothic"/>
                <w:b/>
                <w:lang w:val="es-MX"/>
              </w:rPr>
              <w:t>*</w:t>
            </w:r>
          </w:p>
        </w:tc>
        <w:tc>
          <w:tcPr>
            <w:tcW w:w="2860" w:type="dxa"/>
            <w:shd w:val="clear" w:color="auto" w:fill="auto"/>
            <w:noWrap/>
            <w:vAlign w:val="center"/>
          </w:tcPr>
          <w:p w:rsidR="00681857" w:rsidRPr="0050035B" w:rsidRDefault="00681857" w:rsidP="00681857">
            <w:pPr>
              <w:rPr>
                <w:rFonts w:ascii="Century Gothic" w:hAnsi="Century Gothic"/>
                <w:lang w:val="es-MX"/>
              </w:rPr>
            </w:pPr>
            <w:r w:rsidRPr="00681857">
              <w:rPr>
                <w:rFonts w:ascii="Century Gothic" w:hAnsi="Century Gothic"/>
                <w:lang w:val="es-MX"/>
              </w:rPr>
              <w:t xml:space="preserve">  </w:t>
            </w:r>
            <w:r>
              <w:rPr>
                <w:rFonts w:ascii="Century Gothic" w:hAnsi="Century Gothic"/>
                <w:lang w:val="es-MX"/>
              </w:rPr>
              <w:t xml:space="preserve">  </w:t>
            </w:r>
            <w:r w:rsidRPr="00681857">
              <w:rPr>
                <w:rFonts w:ascii="Century Gothic" w:hAnsi="Century Gothic"/>
                <w:lang w:val="es-MX"/>
              </w:rPr>
              <w:t xml:space="preserve"> </w:t>
            </w:r>
            <w:r w:rsidRPr="0050035B">
              <w:rPr>
                <w:rFonts w:ascii="Century Gothic" w:hAnsi="Century Gothic"/>
                <w:lang w:val="es-MX"/>
              </w:rPr>
              <w:t>$</w:t>
            </w:r>
            <w:r w:rsidRPr="00681857">
              <w:rPr>
                <w:rFonts w:ascii="Century Gothic" w:hAnsi="Century Gothic"/>
                <w:lang w:val="es-MX"/>
              </w:rPr>
              <w:t xml:space="preserve">6,926,417,238.74 </w:t>
            </w:r>
          </w:p>
        </w:tc>
        <w:tc>
          <w:tcPr>
            <w:tcW w:w="1701" w:type="dxa"/>
            <w:shd w:val="clear" w:color="auto" w:fill="auto"/>
            <w:noWrap/>
            <w:vAlign w:val="center"/>
          </w:tcPr>
          <w:p w:rsidR="00681857" w:rsidRPr="0050035B" w:rsidRDefault="00681857" w:rsidP="00681857">
            <w:pPr>
              <w:jc w:val="center"/>
              <w:rPr>
                <w:rFonts w:ascii="Century Gothic" w:hAnsi="Century Gothic"/>
                <w:lang w:val="es-MX"/>
              </w:rPr>
            </w:pPr>
            <w:r w:rsidRPr="00681857">
              <w:rPr>
                <w:rFonts w:ascii="Century Gothic" w:hAnsi="Century Gothic"/>
                <w:lang w:val="es-MX"/>
              </w:rPr>
              <w:t>6.59%</w:t>
            </w:r>
          </w:p>
        </w:tc>
      </w:tr>
    </w:tbl>
    <w:p w:rsidR="007554E3" w:rsidRPr="0050035B" w:rsidRDefault="007554E3" w:rsidP="007554E3">
      <w:pPr>
        <w:spacing w:line="360" w:lineRule="auto"/>
        <w:jc w:val="center"/>
        <w:rPr>
          <w:rFonts w:ascii="Century Gothic" w:hAnsi="Century Gothic"/>
          <w:lang w:val="es-MX"/>
        </w:rPr>
      </w:pPr>
    </w:p>
    <w:p w:rsidR="007554E3" w:rsidRPr="0050035B" w:rsidRDefault="007554E3" w:rsidP="007554E3">
      <w:pPr>
        <w:spacing w:line="360" w:lineRule="auto"/>
        <w:ind w:firstLine="720"/>
        <w:jc w:val="both"/>
        <w:rPr>
          <w:rFonts w:ascii="Century Gothic" w:hAnsi="Century Gothic"/>
          <w:lang w:val="es-MX"/>
        </w:rPr>
      </w:pPr>
    </w:p>
    <w:p w:rsidR="007554E3" w:rsidRPr="0050035B" w:rsidRDefault="007554E3" w:rsidP="007554E3">
      <w:pPr>
        <w:spacing w:line="360" w:lineRule="auto"/>
        <w:ind w:firstLine="720"/>
        <w:jc w:val="both"/>
        <w:rPr>
          <w:rFonts w:ascii="Century Gothic" w:hAnsi="Century Gothic"/>
          <w:lang w:val="es-MX"/>
        </w:rPr>
      </w:pPr>
    </w:p>
    <w:p w:rsidR="007554E3" w:rsidRPr="0050035B" w:rsidRDefault="007554E3" w:rsidP="007554E3">
      <w:pPr>
        <w:spacing w:line="360" w:lineRule="auto"/>
        <w:ind w:firstLine="720"/>
        <w:jc w:val="both"/>
        <w:rPr>
          <w:rFonts w:ascii="Century Gothic" w:hAnsi="Century Gothic"/>
          <w:lang w:val="es-MX"/>
        </w:rPr>
      </w:pPr>
    </w:p>
    <w:p w:rsidR="007554E3" w:rsidRPr="0050035B" w:rsidRDefault="007554E3" w:rsidP="007554E3">
      <w:pPr>
        <w:ind w:left="1276" w:right="1302"/>
        <w:jc w:val="both"/>
        <w:rPr>
          <w:rFonts w:ascii="Century Gothic" w:hAnsi="Century Gothic"/>
          <w:b/>
          <w:sz w:val="18"/>
          <w:szCs w:val="18"/>
          <w:lang w:val="es-MX"/>
        </w:rPr>
      </w:pPr>
    </w:p>
    <w:p w:rsidR="007554E3" w:rsidRPr="0050035B" w:rsidRDefault="007554E3" w:rsidP="007554E3">
      <w:pPr>
        <w:ind w:left="993" w:right="877"/>
        <w:jc w:val="both"/>
        <w:rPr>
          <w:rFonts w:ascii="Century Gothic" w:hAnsi="Century Gothic"/>
          <w:sz w:val="20"/>
          <w:lang w:val="es-MX"/>
        </w:rPr>
      </w:pPr>
      <w:r w:rsidRPr="0050035B">
        <w:rPr>
          <w:rFonts w:ascii="Century Gothic" w:hAnsi="Century Gothic"/>
          <w:b/>
          <w:bCs/>
          <w:sz w:val="20"/>
          <w:lang w:val="es-MX"/>
        </w:rPr>
        <w:t>Fuente</w:t>
      </w:r>
      <w:r w:rsidRPr="0050035B">
        <w:rPr>
          <w:rFonts w:ascii="Century Gothic" w:hAnsi="Century Gothic"/>
          <w:sz w:val="20"/>
          <w:lang w:val="es-MX"/>
        </w:rPr>
        <w:t xml:space="preserve">: Periódico Oficial del Estado de Nuevo León (POE), </w:t>
      </w:r>
      <w:r w:rsidR="000203F5" w:rsidRPr="0050035B">
        <w:rPr>
          <w:rFonts w:ascii="Century Gothic" w:hAnsi="Century Gothic"/>
          <w:sz w:val="20"/>
          <w:lang w:val="es-MX"/>
        </w:rPr>
        <w:t>2012 – 202</w:t>
      </w:r>
      <w:r w:rsidR="00E276F6">
        <w:rPr>
          <w:rFonts w:ascii="Century Gothic" w:hAnsi="Century Gothic"/>
          <w:sz w:val="20"/>
          <w:lang w:val="es-MX"/>
        </w:rPr>
        <w:t>1</w:t>
      </w:r>
      <w:r w:rsidRPr="0050035B">
        <w:rPr>
          <w:rFonts w:ascii="Century Gothic" w:hAnsi="Century Gothic"/>
          <w:sz w:val="20"/>
          <w:lang w:val="es-MX"/>
        </w:rPr>
        <w:t>.</w:t>
      </w:r>
      <w:r w:rsidRPr="0050035B">
        <w:rPr>
          <w:rFonts w:ascii="Century Gothic" w:hAnsi="Century Gothic"/>
          <w:sz w:val="20"/>
          <w:lang w:val="es-MX"/>
        </w:rPr>
        <w:br/>
        <w:t>*La cifra para el año 20</w:t>
      </w:r>
      <w:r w:rsidR="00BF5C57" w:rsidRPr="0050035B">
        <w:rPr>
          <w:rFonts w:ascii="Century Gothic" w:hAnsi="Century Gothic"/>
          <w:sz w:val="20"/>
          <w:lang w:val="es-MX"/>
        </w:rPr>
        <w:t>2</w:t>
      </w:r>
      <w:r w:rsidR="00E276F6">
        <w:rPr>
          <w:rFonts w:ascii="Century Gothic" w:hAnsi="Century Gothic"/>
          <w:sz w:val="20"/>
          <w:lang w:val="es-MX"/>
        </w:rPr>
        <w:t>2</w:t>
      </w:r>
      <w:r w:rsidRPr="0050035B">
        <w:rPr>
          <w:rFonts w:ascii="Century Gothic" w:hAnsi="Century Gothic"/>
          <w:sz w:val="20"/>
          <w:lang w:val="es-MX"/>
        </w:rPr>
        <w:t xml:space="preserve"> representa la proyección para el ejercicio fiscal en mención, por lo cual aún no se encuentra publicada en el POE.</w:t>
      </w:r>
    </w:p>
    <w:p w:rsidR="007554E3" w:rsidRPr="0050035B" w:rsidRDefault="007554E3" w:rsidP="007554E3">
      <w:pPr>
        <w:spacing w:line="360" w:lineRule="auto"/>
        <w:ind w:firstLine="720"/>
        <w:jc w:val="both"/>
        <w:rPr>
          <w:rFonts w:ascii="Century Gothic" w:hAnsi="Century Gothic"/>
          <w:sz w:val="20"/>
          <w:lang w:val="es-MX"/>
        </w:rPr>
      </w:pPr>
    </w:p>
    <w:p w:rsidR="00F86BA5" w:rsidRDefault="00D17CF9" w:rsidP="00681857">
      <w:pPr>
        <w:spacing w:line="360" w:lineRule="auto"/>
        <w:ind w:firstLine="720"/>
        <w:jc w:val="both"/>
        <w:rPr>
          <w:rFonts w:ascii="Century Gothic" w:eastAsiaTheme="minorHAnsi" w:hAnsi="Century Gothic"/>
          <w:lang w:val="es-MX"/>
        </w:rPr>
      </w:pPr>
      <w:r>
        <w:rPr>
          <w:rFonts w:ascii="Century Gothic" w:eastAsiaTheme="minorHAnsi" w:hAnsi="Century Gothic"/>
          <w:lang w:val="es-MX"/>
        </w:rPr>
        <w:t xml:space="preserve">Las proyecciones prudentes </w:t>
      </w:r>
      <w:r w:rsidR="000203F5" w:rsidRPr="0050035B">
        <w:rPr>
          <w:rFonts w:ascii="Century Gothic" w:eastAsiaTheme="minorHAnsi" w:hAnsi="Century Gothic"/>
          <w:lang w:val="es-MX"/>
        </w:rPr>
        <w:t>para el ejercicio 202</w:t>
      </w:r>
      <w:r>
        <w:rPr>
          <w:rFonts w:ascii="Century Gothic" w:eastAsiaTheme="minorHAnsi" w:hAnsi="Century Gothic"/>
          <w:lang w:val="es-MX"/>
        </w:rPr>
        <w:t>2</w:t>
      </w:r>
      <w:r w:rsidR="000203F5" w:rsidRPr="0050035B">
        <w:rPr>
          <w:rFonts w:ascii="Century Gothic" w:eastAsiaTheme="minorHAnsi" w:hAnsi="Century Gothic"/>
          <w:lang w:val="es-MX"/>
        </w:rPr>
        <w:t xml:space="preserve">, responde </w:t>
      </w:r>
      <w:r w:rsidR="001F2633" w:rsidRPr="0050035B">
        <w:rPr>
          <w:rFonts w:ascii="Century Gothic" w:eastAsiaTheme="minorHAnsi" w:hAnsi="Century Gothic"/>
          <w:lang w:val="es-MX"/>
        </w:rPr>
        <w:t>fundamentalmente</w:t>
      </w:r>
      <w:r w:rsidR="000203F5" w:rsidRPr="0050035B">
        <w:rPr>
          <w:rFonts w:ascii="Century Gothic" w:eastAsiaTheme="minorHAnsi" w:hAnsi="Century Gothic"/>
          <w:lang w:val="es-MX"/>
        </w:rPr>
        <w:t xml:space="preserve"> a las consecuencias derivadas de la Pandemia </w:t>
      </w:r>
      <w:r w:rsidR="001F2633" w:rsidRPr="0050035B">
        <w:rPr>
          <w:rFonts w:ascii="Century Gothic" w:eastAsiaTheme="minorHAnsi" w:hAnsi="Century Gothic"/>
          <w:lang w:val="es-MX"/>
        </w:rPr>
        <w:t>del</w:t>
      </w:r>
      <w:r w:rsidR="000203F5" w:rsidRPr="0050035B">
        <w:rPr>
          <w:rFonts w:ascii="Century Gothic" w:eastAsiaTheme="minorHAnsi" w:hAnsi="Century Gothic"/>
          <w:lang w:val="es-MX"/>
        </w:rPr>
        <w:t xml:space="preserve"> </w:t>
      </w:r>
      <w:r w:rsidR="00C17543">
        <w:rPr>
          <w:rFonts w:ascii="Century Gothic" w:hAnsi="Century Gothic"/>
          <w:lang w:val="es-MX"/>
        </w:rPr>
        <w:t>virus SARS-CoV2 (COVID-19)</w:t>
      </w:r>
      <w:r w:rsidR="000203F5" w:rsidRPr="0050035B">
        <w:rPr>
          <w:rFonts w:ascii="Century Gothic" w:eastAsiaTheme="minorHAnsi" w:hAnsi="Century Gothic"/>
          <w:lang w:val="es-MX"/>
        </w:rPr>
        <w:t xml:space="preserve">, la declaratoria de emergencia y las consecuentes acciones, entre las que destacan el cierre de negocios y el confinamiento, los cuales han mermado la economía de los regiomontanos y por ende la capacidad recaudatoria del </w:t>
      </w:r>
      <w:r w:rsidR="00786E93">
        <w:rPr>
          <w:rFonts w:ascii="Century Gothic" w:eastAsiaTheme="minorHAnsi" w:hAnsi="Century Gothic"/>
          <w:lang w:val="es-MX"/>
        </w:rPr>
        <w:t xml:space="preserve">Municipio </w:t>
      </w:r>
      <w:r w:rsidR="00B81ABE" w:rsidRPr="0050035B">
        <w:rPr>
          <w:rFonts w:ascii="Century Gothic" w:eastAsiaTheme="minorHAnsi" w:hAnsi="Century Gothic"/>
          <w:lang w:val="es-MX"/>
        </w:rPr>
        <w:t>(Gráfica 3.1)</w:t>
      </w:r>
      <w:r w:rsidR="00681857">
        <w:rPr>
          <w:rFonts w:ascii="Century Gothic" w:eastAsiaTheme="minorHAnsi" w:hAnsi="Century Gothic"/>
          <w:lang w:val="es-MX"/>
        </w:rPr>
        <w:t xml:space="preserve">, para el ejercicio 2022 se cuenta con una proyección al alza en 6.59% derivado principalmente del incremento en la recaudación del ingresos por parte del </w:t>
      </w:r>
      <w:r w:rsidR="00786E93">
        <w:rPr>
          <w:rFonts w:ascii="Century Gothic" w:eastAsiaTheme="minorHAnsi" w:hAnsi="Century Gothic"/>
          <w:lang w:val="es-MX"/>
        </w:rPr>
        <w:t xml:space="preserve">Municipio </w:t>
      </w:r>
      <w:r w:rsidR="006E5EE7">
        <w:rPr>
          <w:rFonts w:ascii="Century Gothic" w:eastAsiaTheme="minorHAnsi" w:hAnsi="Century Gothic"/>
          <w:lang w:val="es-MX"/>
        </w:rPr>
        <w:t xml:space="preserve">por la </w:t>
      </w:r>
      <w:r w:rsidR="006E5EE7">
        <w:rPr>
          <w:rFonts w:ascii="Century Gothic" w:eastAsiaTheme="minorHAnsi" w:hAnsi="Century Gothic"/>
          <w:lang w:val="es-MX"/>
        </w:rPr>
        <w:lastRenderedPageBreak/>
        <w:t xml:space="preserve">estabilización económica </w:t>
      </w:r>
      <w:r w:rsidR="00681857">
        <w:rPr>
          <w:rFonts w:ascii="Century Gothic" w:eastAsiaTheme="minorHAnsi" w:hAnsi="Century Gothic"/>
          <w:lang w:val="es-MX"/>
        </w:rPr>
        <w:t>y de la proyección de incremento en la percepción de transferencias federales</w:t>
      </w:r>
      <w:r w:rsidR="00E23C86">
        <w:rPr>
          <w:rFonts w:ascii="Century Gothic" w:eastAsiaTheme="minorHAnsi" w:hAnsi="Century Gothic"/>
          <w:lang w:val="es-MX"/>
        </w:rPr>
        <w:t xml:space="preserve"> y estatales</w:t>
      </w:r>
      <w:r w:rsidR="000203F5" w:rsidRPr="0050035B">
        <w:rPr>
          <w:rFonts w:ascii="Century Gothic" w:eastAsiaTheme="minorHAnsi" w:hAnsi="Century Gothic"/>
          <w:lang w:val="es-MX"/>
        </w:rPr>
        <w:t xml:space="preserve">. </w:t>
      </w:r>
    </w:p>
    <w:p w:rsidR="007A3904" w:rsidRDefault="007A3904">
      <w:pPr>
        <w:rPr>
          <w:rFonts w:ascii="Century Gothic" w:hAnsi="Century Gothic"/>
          <w:b/>
          <w:sz w:val="22"/>
          <w:szCs w:val="22"/>
          <w:lang w:val="es-MX"/>
        </w:rPr>
      </w:pPr>
    </w:p>
    <w:p w:rsidR="002B1701" w:rsidRPr="0050035B" w:rsidRDefault="002B1701" w:rsidP="001D1BB3">
      <w:pPr>
        <w:ind w:left="709" w:right="877"/>
        <w:jc w:val="center"/>
        <w:rPr>
          <w:rFonts w:ascii="Century Gothic" w:hAnsi="Century Gothic"/>
          <w:sz w:val="22"/>
          <w:szCs w:val="22"/>
          <w:lang w:val="es-MX"/>
        </w:rPr>
      </w:pPr>
      <w:r w:rsidRPr="0050035B">
        <w:rPr>
          <w:rFonts w:ascii="Century Gothic" w:hAnsi="Century Gothic"/>
          <w:b/>
          <w:sz w:val="22"/>
          <w:szCs w:val="22"/>
          <w:lang w:val="es-MX"/>
        </w:rPr>
        <w:t>Gráfica 3.1.</w:t>
      </w:r>
      <w:r w:rsidRPr="0050035B">
        <w:rPr>
          <w:rFonts w:ascii="Century Gothic" w:hAnsi="Century Gothic"/>
          <w:sz w:val="22"/>
          <w:szCs w:val="22"/>
          <w:lang w:val="es-MX"/>
        </w:rPr>
        <w:t xml:space="preserve"> Ingresos por recursos federales y estatales del </w:t>
      </w:r>
      <w:r w:rsidR="00786E93">
        <w:rPr>
          <w:rFonts w:ascii="Century Gothic" w:hAnsi="Century Gothic"/>
          <w:sz w:val="22"/>
          <w:szCs w:val="22"/>
          <w:lang w:val="es-MX"/>
        </w:rPr>
        <w:t xml:space="preserve">Municipio </w:t>
      </w:r>
      <w:r w:rsidRPr="0050035B">
        <w:rPr>
          <w:rFonts w:ascii="Century Gothic" w:hAnsi="Century Gothic"/>
          <w:sz w:val="22"/>
          <w:szCs w:val="22"/>
          <w:lang w:val="es-MX"/>
        </w:rPr>
        <w:t>de Monterrey, 201</w:t>
      </w:r>
      <w:r w:rsidR="007A3904">
        <w:rPr>
          <w:rFonts w:ascii="Century Gothic" w:hAnsi="Century Gothic"/>
          <w:sz w:val="22"/>
          <w:szCs w:val="22"/>
          <w:lang w:val="es-MX"/>
        </w:rPr>
        <w:t>7</w:t>
      </w:r>
      <w:r w:rsidR="00BF5C57" w:rsidRPr="0050035B">
        <w:rPr>
          <w:rFonts w:ascii="Century Gothic" w:hAnsi="Century Gothic"/>
          <w:sz w:val="22"/>
          <w:szCs w:val="22"/>
          <w:lang w:val="es-MX"/>
        </w:rPr>
        <w:t>-202</w:t>
      </w:r>
      <w:r w:rsidR="007A3904">
        <w:rPr>
          <w:rFonts w:ascii="Century Gothic" w:hAnsi="Century Gothic"/>
          <w:sz w:val="22"/>
          <w:szCs w:val="22"/>
          <w:lang w:val="es-MX"/>
        </w:rPr>
        <w:t>1</w:t>
      </w:r>
      <w:r w:rsidR="008168E6">
        <w:rPr>
          <w:rFonts w:ascii="Century Gothic" w:hAnsi="Century Gothic"/>
          <w:sz w:val="22"/>
          <w:szCs w:val="22"/>
          <w:lang w:val="es-MX"/>
        </w:rPr>
        <w:t xml:space="preserve"> (MdP</w:t>
      </w:r>
      <w:r w:rsidR="00AF74BD">
        <w:rPr>
          <w:rFonts w:ascii="Century Gothic" w:hAnsi="Century Gothic"/>
          <w:sz w:val="22"/>
          <w:szCs w:val="22"/>
          <w:lang w:val="es-MX"/>
        </w:rPr>
        <w:t>)</w:t>
      </w:r>
    </w:p>
    <w:p w:rsidR="000203F5" w:rsidRPr="0050035B" w:rsidRDefault="00D17CF9" w:rsidP="001D1BB3">
      <w:pPr>
        <w:ind w:left="993" w:right="877"/>
        <w:jc w:val="both"/>
        <w:rPr>
          <w:rFonts w:ascii="Century Gothic" w:hAnsi="Century Gothic"/>
          <w:sz w:val="20"/>
          <w:lang w:val="es-MX"/>
        </w:rPr>
      </w:pPr>
      <w:r>
        <w:rPr>
          <w:noProof/>
          <w:lang w:val="es-MX" w:eastAsia="es-MX"/>
        </w:rPr>
        <w:drawing>
          <wp:anchor distT="0" distB="0" distL="114300" distR="114300" simplePos="0" relativeHeight="251762688" behindDoc="1" locked="0" layoutInCell="1" allowOverlap="1" wp14:anchorId="7A2DEDE4" wp14:editId="0C1C9B16">
            <wp:simplePos x="0" y="0"/>
            <wp:positionH relativeFrom="margin">
              <wp:align>right</wp:align>
            </wp:positionH>
            <wp:positionV relativeFrom="paragraph">
              <wp:posOffset>16188</wp:posOffset>
            </wp:positionV>
            <wp:extent cx="5597525" cy="2566035"/>
            <wp:effectExtent l="0" t="0" r="3175" b="5715"/>
            <wp:wrapNone/>
            <wp:docPr id="21" name="Gráfico 21">
              <a:extLst xmlns:a="http://schemas.openxmlformats.org/drawingml/2006/main">
                <a:ext uri="{FF2B5EF4-FFF2-40B4-BE49-F238E27FC236}">
                  <a16:creationId xmlns:a16="http://schemas.microsoft.com/office/drawing/2014/main" id="{00000000-0008-0000-0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E23C86" w:rsidRDefault="00E23C86" w:rsidP="002B1701">
      <w:pPr>
        <w:ind w:left="993" w:right="877"/>
        <w:jc w:val="both"/>
        <w:rPr>
          <w:rFonts w:ascii="Century Gothic" w:hAnsi="Century Gothic"/>
          <w:b/>
          <w:bCs/>
          <w:sz w:val="20"/>
          <w:lang w:val="es-MX"/>
        </w:rPr>
      </w:pPr>
    </w:p>
    <w:p w:rsidR="00E23C86" w:rsidRPr="0050035B" w:rsidRDefault="00E23C86" w:rsidP="002B1701">
      <w:pPr>
        <w:ind w:left="993" w:right="877"/>
        <w:jc w:val="both"/>
        <w:rPr>
          <w:rFonts w:ascii="Century Gothic" w:hAnsi="Century Gothic"/>
          <w:b/>
          <w:bCs/>
          <w:sz w:val="20"/>
          <w:lang w:val="es-MX"/>
        </w:rPr>
      </w:pPr>
    </w:p>
    <w:p w:rsidR="001D1BB3" w:rsidRPr="0050035B" w:rsidRDefault="001D1BB3" w:rsidP="002B1701">
      <w:pPr>
        <w:ind w:left="993" w:right="877"/>
        <w:jc w:val="both"/>
        <w:rPr>
          <w:rFonts w:ascii="Century Gothic" w:hAnsi="Century Gothic"/>
          <w:b/>
          <w:bCs/>
          <w:sz w:val="20"/>
          <w:lang w:val="es-MX"/>
        </w:rPr>
      </w:pPr>
    </w:p>
    <w:p w:rsidR="00530C4B" w:rsidRDefault="00530C4B" w:rsidP="002B1701">
      <w:pPr>
        <w:ind w:left="993" w:right="877"/>
        <w:jc w:val="both"/>
        <w:rPr>
          <w:rFonts w:ascii="Century Gothic" w:hAnsi="Century Gothic"/>
          <w:b/>
          <w:bCs/>
          <w:sz w:val="20"/>
          <w:lang w:val="es-MX"/>
        </w:rPr>
      </w:pPr>
    </w:p>
    <w:p w:rsidR="00530C4B" w:rsidRDefault="00530C4B" w:rsidP="002B1701">
      <w:pPr>
        <w:ind w:left="993" w:right="877"/>
        <w:jc w:val="both"/>
        <w:rPr>
          <w:rFonts w:ascii="Century Gothic" w:hAnsi="Century Gothic"/>
          <w:b/>
          <w:bCs/>
          <w:sz w:val="20"/>
          <w:lang w:val="es-MX"/>
        </w:rPr>
      </w:pPr>
    </w:p>
    <w:p w:rsidR="00530C4B" w:rsidRDefault="00530C4B" w:rsidP="002B1701">
      <w:pPr>
        <w:ind w:left="993" w:right="877"/>
        <w:jc w:val="both"/>
        <w:rPr>
          <w:rFonts w:ascii="Century Gothic" w:hAnsi="Century Gothic"/>
          <w:b/>
          <w:bCs/>
          <w:sz w:val="20"/>
          <w:lang w:val="es-MX"/>
        </w:rPr>
      </w:pPr>
    </w:p>
    <w:p w:rsidR="00530C4B" w:rsidRDefault="007A3904" w:rsidP="007A3904">
      <w:pPr>
        <w:tabs>
          <w:tab w:val="left" w:pos="1942"/>
        </w:tabs>
        <w:ind w:left="993" w:right="877"/>
        <w:jc w:val="both"/>
        <w:rPr>
          <w:rFonts w:ascii="Century Gothic" w:hAnsi="Century Gothic"/>
          <w:b/>
          <w:bCs/>
          <w:sz w:val="20"/>
          <w:lang w:val="es-MX"/>
        </w:rPr>
      </w:pPr>
      <w:r>
        <w:rPr>
          <w:rFonts w:ascii="Century Gothic" w:hAnsi="Century Gothic"/>
          <w:b/>
          <w:bCs/>
          <w:sz w:val="20"/>
          <w:lang w:val="es-MX"/>
        </w:rPr>
        <w:tab/>
      </w:r>
    </w:p>
    <w:p w:rsidR="00530C4B" w:rsidRDefault="00530C4B" w:rsidP="002B1701">
      <w:pPr>
        <w:ind w:left="993" w:right="877"/>
        <w:jc w:val="both"/>
        <w:rPr>
          <w:rFonts w:ascii="Century Gothic" w:hAnsi="Century Gothic"/>
          <w:b/>
          <w:bCs/>
          <w:sz w:val="20"/>
          <w:lang w:val="es-MX"/>
        </w:rPr>
      </w:pPr>
    </w:p>
    <w:p w:rsidR="00530C4B" w:rsidRDefault="00530C4B" w:rsidP="002B1701">
      <w:pPr>
        <w:ind w:left="993" w:right="877"/>
        <w:jc w:val="both"/>
        <w:rPr>
          <w:rFonts w:ascii="Century Gothic" w:hAnsi="Century Gothic"/>
          <w:b/>
          <w:bCs/>
          <w:sz w:val="20"/>
          <w:lang w:val="es-MX"/>
        </w:rPr>
      </w:pPr>
    </w:p>
    <w:p w:rsidR="00530C4B" w:rsidRDefault="00530C4B" w:rsidP="002B1701">
      <w:pPr>
        <w:ind w:left="993" w:right="877"/>
        <w:jc w:val="both"/>
        <w:rPr>
          <w:rFonts w:ascii="Century Gothic" w:hAnsi="Century Gothic"/>
          <w:b/>
          <w:bCs/>
          <w:sz w:val="20"/>
          <w:lang w:val="es-MX"/>
        </w:rPr>
      </w:pPr>
    </w:p>
    <w:p w:rsidR="00530C4B" w:rsidRDefault="00530C4B" w:rsidP="002B1701">
      <w:pPr>
        <w:ind w:left="993" w:right="877"/>
        <w:jc w:val="both"/>
        <w:rPr>
          <w:rFonts w:ascii="Century Gothic" w:hAnsi="Century Gothic"/>
          <w:b/>
          <w:bCs/>
          <w:sz w:val="20"/>
          <w:lang w:val="es-MX"/>
        </w:rPr>
      </w:pPr>
    </w:p>
    <w:p w:rsidR="00530C4B" w:rsidRDefault="00530C4B" w:rsidP="002B1701">
      <w:pPr>
        <w:ind w:left="993" w:right="877"/>
        <w:jc w:val="both"/>
        <w:rPr>
          <w:rFonts w:ascii="Century Gothic" w:hAnsi="Century Gothic"/>
          <w:b/>
          <w:bCs/>
          <w:sz w:val="20"/>
          <w:lang w:val="es-MX"/>
        </w:rPr>
      </w:pPr>
    </w:p>
    <w:p w:rsidR="00530C4B" w:rsidRDefault="00530C4B" w:rsidP="002B1701">
      <w:pPr>
        <w:ind w:left="993" w:right="877"/>
        <w:jc w:val="both"/>
        <w:rPr>
          <w:rFonts w:ascii="Century Gothic" w:hAnsi="Century Gothic"/>
          <w:b/>
          <w:bCs/>
          <w:sz w:val="20"/>
          <w:lang w:val="es-MX"/>
        </w:rPr>
      </w:pPr>
    </w:p>
    <w:p w:rsidR="00530C4B" w:rsidRDefault="00530C4B" w:rsidP="002B1701">
      <w:pPr>
        <w:ind w:left="993" w:right="877"/>
        <w:jc w:val="both"/>
        <w:rPr>
          <w:rFonts w:ascii="Century Gothic" w:hAnsi="Century Gothic"/>
          <w:b/>
          <w:bCs/>
          <w:sz w:val="20"/>
          <w:lang w:val="es-MX"/>
        </w:rPr>
      </w:pPr>
    </w:p>
    <w:p w:rsidR="00530C4B" w:rsidRDefault="00422E10" w:rsidP="00422E10">
      <w:pPr>
        <w:tabs>
          <w:tab w:val="left" w:pos="6080"/>
        </w:tabs>
        <w:ind w:left="993" w:right="877"/>
        <w:jc w:val="both"/>
        <w:rPr>
          <w:rFonts w:ascii="Century Gothic" w:hAnsi="Century Gothic"/>
          <w:b/>
          <w:bCs/>
          <w:sz w:val="20"/>
          <w:lang w:val="es-MX"/>
        </w:rPr>
      </w:pPr>
      <w:r>
        <w:rPr>
          <w:rFonts w:ascii="Century Gothic" w:hAnsi="Century Gothic"/>
          <w:b/>
          <w:bCs/>
          <w:sz w:val="20"/>
          <w:lang w:val="es-MX"/>
        </w:rPr>
        <w:tab/>
      </w:r>
    </w:p>
    <w:p w:rsidR="00530C4B" w:rsidRDefault="00530C4B" w:rsidP="002B1701">
      <w:pPr>
        <w:ind w:left="993" w:right="877"/>
        <w:jc w:val="both"/>
        <w:rPr>
          <w:rFonts w:ascii="Century Gothic" w:hAnsi="Century Gothic"/>
          <w:b/>
          <w:bCs/>
          <w:sz w:val="20"/>
          <w:lang w:val="es-MX"/>
        </w:rPr>
      </w:pPr>
    </w:p>
    <w:p w:rsidR="00530C4B" w:rsidRDefault="00530C4B" w:rsidP="002B1701">
      <w:pPr>
        <w:ind w:left="993" w:right="877"/>
        <w:jc w:val="both"/>
        <w:rPr>
          <w:rFonts w:ascii="Century Gothic" w:hAnsi="Century Gothic"/>
          <w:b/>
          <w:bCs/>
          <w:sz w:val="20"/>
          <w:lang w:val="es-MX"/>
        </w:rPr>
      </w:pPr>
    </w:p>
    <w:p w:rsidR="002B1701" w:rsidRPr="0050035B" w:rsidRDefault="002B1701" w:rsidP="002B1701">
      <w:pPr>
        <w:ind w:left="993" w:right="877"/>
        <w:jc w:val="both"/>
        <w:rPr>
          <w:rFonts w:ascii="Century Gothic" w:hAnsi="Century Gothic"/>
          <w:sz w:val="20"/>
          <w:lang w:val="es-MX"/>
        </w:rPr>
      </w:pPr>
      <w:r w:rsidRPr="0050035B">
        <w:rPr>
          <w:rFonts w:ascii="Century Gothic" w:hAnsi="Century Gothic"/>
          <w:b/>
          <w:bCs/>
          <w:sz w:val="20"/>
          <w:lang w:val="es-MX"/>
        </w:rPr>
        <w:t>Fuente</w:t>
      </w:r>
      <w:r w:rsidRPr="0050035B">
        <w:rPr>
          <w:rFonts w:ascii="Century Gothic" w:hAnsi="Century Gothic"/>
          <w:sz w:val="20"/>
          <w:lang w:val="es-MX"/>
        </w:rPr>
        <w:t xml:space="preserve">: Elaboración propia, </w:t>
      </w:r>
      <w:r w:rsidR="00BF5C57" w:rsidRPr="0050035B">
        <w:rPr>
          <w:rFonts w:ascii="Century Gothic" w:hAnsi="Century Gothic"/>
          <w:sz w:val="20"/>
          <w:lang w:val="es-MX"/>
        </w:rPr>
        <w:t>202</w:t>
      </w:r>
      <w:r w:rsidR="00E23C86">
        <w:rPr>
          <w:rFonts w:ascii="Century Gothic" w:hAnsi="Century Gothic"/>
          <w:sz w:val="20"/>
          <w:lang w:val="es-MX"/>
        </w:rPr>
        <w:t>1</w:t>
      </w:r>
      <w:r w:rsidRPr="0050035B">
        <w:rPr>
          <w:rFonts w:ascii="Century Gothic" w:hAnsi="Century Gothic"/>
          <w:sz w:val="20"/>
          <w:lang w:val="es-MX"/>
        </w:rPr>
        <w:t>.</w:t>
      </w:r>
    </w:p>
    <w:p w:rsidR="002B1701" w:rsidRDefault="002B1701" w:rsidP="002B1701">
      <w:pPr>
        <w:ind w:left="993" w:right="877"/>
        <w:jc w:val="both"/>
        <w:rPr>
          <w:rFonts w:ascii="Century Gothic" w:hAnsi="Century Gothic"/>
          <w:sz w:val="20"/>
          <w:lang w:val="es-MX"/>
        </w:rPr>
      </w:pPr>
      <w:r w:rsidRPr="0050035B">
        <w:rPr>
          <w:rFonts w:ascii="Century Gothic" w:hAnsi="Century Gothic"/>
          <w:sz w:val="20"/>
          <w:lang w:val="es-MX"/>
        </w:rPr>
        <w:t xml:space="preserve">* Corte a </w:t>
      </w:r>
      <w:r w:rsidR="00A1796B" w:rsidRPr="0050035B">
        <w:rPr>
          <w:rFonts w:ascii="Century Gothic" w:hAnsi="Century Gothic"/>
          <w:sz w:val="20"/>
          <w:lang w:val="es-MX"/>
        </w:rPr>
        <w:t>septiembre</w:t>
      </w:r>
      <w:r w:rsidRPr="0050035B">
        <w:rPr>
          <w:rFonts w:ascii="Century Gothic" w:hAnsi="Century Gothic"/>
          <w:sz w:val="20"/>
          <w:lang w:val="es-MX"/>
        </w:rPr>
        <w:t xml:space="preserve"> de </w:t>
      </w:r>
      <w:r w:rsidR="00BF5C57" w:rsidRPr="0050035B">
        <w:rPr>
          <w:rFonts w:ascii="Century Gothic" w:hAnsi="Century Gothic"/>
          <w:sz w:val="20"/>
          <w:lang w:val="es-MX"/>
        </w:rPr>
        <w:t>202</w:t>
      </w:r>
      <w:r w:rsidR="00E23C86">
        <w:rPr>
          <w:rFonts w:ascii="Century Gothic" w:hAnsi="Century Gothic"/>
          <w:sz w:val="20"/>
          <w:lang w:val="es-MX"/>
        </w:rPr>
        <w:t>1</w:t>
      </w:r>
      <w:r w:rsidR="00BF5C57" w:rsidRPr="0050035B">
        <w:rPr>
          <w:rFonts w:ascii="Century Gothic" w:hAnsi="Century Gothic"/>
          <w:sz w:val="20"/>
          <w:lang w:val="es-MX"/>
        </w:rPr>
        <w:t xml:space="preserve"> </w:t>
      </w:r>
      <w:r w:rsidRPr="0050035B">
        <w:rPr>
          <w:rFonts w:ascii="Century Gothic" w:hAnsi="Century Gothic"/>
          <w:sz w:val="20"/>
          <w:lang w:val="es-MX"/>
        </w:rPr>
        <w:t xml:space="preserve">con proyección de cierre </w:t>
      </w:r>
      <w:r w:rsidR="00BF5C57" w:rsidRPr="0050035B">
        <w:rPr>
          <w:rFonts w:ascii="Century Gothic" w:hAnsi="Century Gothic"/>
          <w:sz w:val="20"/>
          <w:lang w:val="es-MX"/>
        </w:rPr>
        <w:t>202</w:t>
      </w:r>
      <w:r w:rsidR="00E23C86">
        <w:rPr>
          <w:rFonts w:ascii="Century Gothic" w:hAnsi="Century Gothic"/>
          <w:sz w:val="20"/>
          <w:lang w:val="es-MX"/>
        </w:rPr>
        <w:t>1</w:t>
      </w:r>
      <w:r w:rsidRPr="0050035B">
        <w:rPr>
          <w:rFonts w:ascii="Century Gothic" w:hAnsi="Century Gothic"/>
          <w:sz w:val="20"/>
          <w:lang w:val="es-MX"/>
        </w:rPr>
        <w:t>.</w:t>
      </w:r>
    </w:p>
    <w:p w:rsidR="00F523E2" w:rsidRPr="0050035B" w:rsidRDefault="00F523E2" w:rsidP="00F1636C">
      <w:pPr>
        <w:spacing w:line="360" w:lineRule="auto"/>
        <w:ind w:firstLine="720"/>
        <w:jc w:val="both"/>
        <w:rPr>
          <w:rFonts w:ascii="Century Gothic" w:hAnsi="Century Gothic"/>
          <w:lang w:val="es-MX"/>
        </w:rPr>
      </w:pPr>
    </w:p>
    <w:p w:rsidR="00E23C86" w:rsidRDefault="00F523E2" w:rsidP="00F1636C">
      <w:pPr>
        <w:spacing w:line="360" w:lineRule="auto"/>
        <w:ind w:firstLine="720"/>
        <w:jc w:val="both"/>
        <w:rPr>
          <w:rFonts w:ascii="Century Gothic" w:hAnsi="Century Gothic"/>
          <w:lang w:val="es-MX"/>
        </w:rPr>
      </w:pPr>
      <w:r w:rsidRPr="0050035B">
        <w:rPr>
          <w:rFonts w:ascii="Century Gothic" w:hAnsi="Century Gothic"/>
          <w:lang w:val="es-MX"/>
        </w:rPr>
        <w:t>S</w:t>
      </w:r>
      <w:r w:rsidR="005E0635" w:rsidRPr="0050035B">
        <w:rPr>
          <w:rFonts w:ascii="Century Gothic" w:hAnsi="Century Gothic"/>
          <w:lang w:val="es-MX"/>
        </w:rPr>
        <w:t xml:space="preserve">e espera que para el ejercicio fiscal </w:t>
      </w:r>
      <w:r w:rsidR="00534332" w:rsidRPr="0050035B">
        <w:rPr>
          <w:rFonts w:ascii="Century Gothic" w:hAnsi="Century Gothic"/>
          <w:lang w:val="es-MX"/>
        </w:rPr>
        <w:t>202</w:t>
      </w:r>
      <w:r w:rsidR="00E23C86">
        <w:rPr>
          <w:rFonts w:ascii="Century Gothic" w:hAnsi="Century Gothic"/>
          <w:lang w:val="es-MX"/>
        </w:rPr>
        <w:t>2</w:t>
      </w:r>
      <w:r w:rsidR="00F906FF" w:rsidRPr="0050035B">
        <w:rPr>
          <w:rFonts w:ascii="Century Gothic" w:hAnsi="Century Gothic"/>
          <w:lang w:val="es-MX"/>
        </w:rPr>
        <w:t>,</w:t>
      </w:r>
      <w:r w:rsidR="00534332" w:rsidRPr="0050035B">
        <w:rPr>
          <w:rFonts w:ascii="Century Gothic" w:hAnsi="Century Gothic"/>
          <w:lang w:val="es-MX"/>
        </w:rPr>
        <w:t xml:space="preserve"> </w:t>
      </w:r>
      <w:r w:rsidR="00E23C86">
        <w:rPr>
          <w:rFonts w:ascii="Century Gothic" w:hAnsi="Century Gothic"/>
          <w:lang w:val="es-MX"/>
        </w:rPr>
        <w:t>la contracción en el crecimiento de los ingresos municipales del año 2021 se convierta en un incremento discreto pero sostenido, como consecuencia de los esfuerzos de un eficiente programa recaudatorio y la percepción de transferencias federales y estatales; aunado a lo anterior</w:t>
      </w:r>
      <w:r w:rsidR="006E5EE7">
        <w:rPr>
          <w:rFonts w:ascii="Century Gothic" w:hAnsi="Century Gothic"/>
          <w:lang w:val="es-MX"/>
        </w:rPr>
        <w:t>,</w:t>
      </w:r>
      <w:r w:rsidR="00E23C86">
        <w:rPr>
          <w:rFonts w:ascii="Century Gothic" w:hAnsi="Century Gothic"/>
          <w:lang w:val="es-MX"/>
        </w:rPr>
        <w:t xml:space="preserve"> será de suma importancia mantener una disciplina financiera que permita al </w:t>
      </w:r>
      <w:r w:rsidR="00786E93">
        <w:rPr>
          <w:rFonts w:ascii="Century Gothic" w:hAnsi="Century Gothic"/>
          <w:lang w:val="es-MX"/>
        </w:rPr>
        <w:t xml:space="preserve">Municipio </w:t>
      </w:r>
      <w:r w:rsidR="00E23C86">
        <w:rPr>
          <w:rFonts w:ascii="Century Gothic" w:hAnsi="Century Gothic"/>
          <w:lang w:val="es-MX"/>
        </w:rPr>
        <w:t xml:space="preserve">mantener un </w:t>
      </w:r>
      <w:r w:rsidR="00E23C86" w:rsidRPr="007A3904">
        <w:rPr>
          <w:rFonts w:ascii="Century Gothic" w:hAnsi="Century Gothic"/>
          <w:lang w:val="es-MX"/>
        </w:rPr>
        <w:t xml:space="preserve">equilibrio presupuestal sostenible. </w:t>
      </w:r>
    </w:p>
    <w:p w:rsidR="00B00A2F" w:rsidRPr="007A3904" w:rsidRDefault="00B00A2F" w:rsidP="00F1636C">
      <w:pPr>
        <w:spacing w:line="360" w:lineRule="auto"/>
        <w:ind w:firstLine="720"/>
        <w:jc w:val="both"/>
        <w:rPr>
          <w:rFonts w:ascii="Century Gothic" w:hAnsi="Century Gothic"/>
          <w:lang w:val="es-MX"/>
        </w:rPr>
      </w:pPr>
    </w:p>
    <w:p w:rsidR="00C35C46" w:rsidRPr="007A3904" w:rsidRDefault="00C35C46" w:rsidP="0033072C">
      <w:pPr>
        <w:spacing w:line="360" w:lineRule="auto"/>
        <w:jc w:val="both"/>
        <w:rPr>
          <w:rFonts w:ascii="Century Gothic" w:hAnsi="Century Gothic"/>
          <w:b/>
          <w:lang w:val="es-MX"/>
        </w:rPr>
      </w:pPr>
      <w:r w:rsidRPr="007A3904">
        <w:rPr>
          <w:rFonts w:ascii="Century Gothic" w:hAnsi="Century Gothic"/>
          <w:b/>
          <w:lang w:val="es-MX"/>
        </w:rPr>
        <w:t>3.</w:t>
      </w:r>
      <w:r w:rsidR="00C82F72" w:rsidRPr="007A3904">
        <w:rPr>
          <w:rFonts w:ascii="Century Gothic" w:hAnsi="Century Gothic"/>
          <w:b/>
          <w:lang w:val="es-MX"/>
        </w:rPr>
        <w:t>4</w:t>
      </w:r>
      <w:r w:rsidR="000D24A0" w:rsidRPr="007A3904">
        <w:rPr>
          <w:rFonts w:ascii="Century Gothic" w:hAnsi="Century Gothic"/>
          <w:b/>
          <w:lang w:val="es-MX"/>
        </w:rPr>
        <w:t>.</w:t>
      </w:r>
      <w:r w:rsidRPr="007A3904">
        <w:rPr>
          <w:rFonts w:ascii="Century Gothic" w:hAnsi="Century Gothic"/>
          <w:b/>
          <w:lang w:val="es-MX"/>
        </w:rPr>
        <w:t xml:space="preserve"> Resultados y Proyecciones de Ingresos.</w:t>
      </w:r>
    </w:p>
    <w:p w:rsidR="00ED1255" w:rsidRPr="0050035B" w:rsidRDefault="004459A5" w:rsidP="004459A5">
      <w:pPr>
        <w:spacing w:line="360" w:lineRule="auto"/>
        <w:jc w:val="both"/>
        <w:rPr>
          <w:rFonts w:ascii="Century Gothic" w:hAnsi="Century Gothic"/>
          <w:lang w:val="es-MX"/>
        </w:rPr>
      </w:pPr>
      <w:r w:rsidRPr="007A3904">
        <w:rPr>
          <w:rFonts w:ascii="Century Gothic" w:hAnsi="Century Gothic"/>
          <w:lang w:val="es-MX"/>
        </w:rPr>
        <w:t>Con la e</w:t>
      </w:r>
      <w:r w:rsidR="008906BB" w:rsidRPr="007A3904">
        <w:rPr>
          <w:rFonts w:ascii="Century Gothic" w:hAnsi="Century Gothic"/>
          <w:lang w:val="es-MX"/>
        </w:rPr>
        <w:t xml:space="preserve">misión de la Ley de Disciplina Financiera </w:t>
      </w:r>
      <w:r w:rsidR="003D0310" w:rsidRPr="007A3904">
        <w:rPr>
          <w:rFonts w:ascii="Century Gothic" w:hAnsi="Century Gothic"/>
          <w:lang w:val="es-MX"/>
        </w:rPr>
        <w:t>de</w:t>
      </w:r>
      <w:r w:rsidR="008906BB" w:rsidRPr="007A3904">
        <w:rPr>
          <w:rFonts w:ascii="Century Gothic" w:hAnsi="Century Gothic"/>
          <w:lang w:val="es-MX"/>
        </w:rPr>
        <w:t xml:space="preserve"> las Entidades Federativas y los Municipios, </w:t>
      </w:r>
      <w:r w:rsidR="001F052B" w:rsidRPr="007A3904">
        <w:rPr>
          <w:rFonts w:ascii="Century Gothic" w:hAnsi="Century Gothic"/>
          <w:lang w:val="es-MX"/>
        </w:rPr>
        <w:t>emana</w:t>
      </w:r>
      <w:r w:rsidR="008906BB" w:rsidRPr="007A3904">
        <w:rPr>
          <w:rFonts w:ascii="Century Gothic" w:hAnsi="Century Gothic"/>
          <w:lang w:val="es-MX"/>
        </w:rPr>
        <w:t xml:space="preserve"> la exigencia legal para los Municipio</w:t>
      </w:r>
      <w:r w:rsidR="005B19F8" w:rsidRPr="007A3904">
        <w:rPr>
          <w:rFonts w:ascii="Century Gothic" w:hAnsi="Century Gothic"/>
          <w:lang w:val="es-MX"/>
        </w:rPr>
        <w:t>s</w:t>
      </w:r>
      <w:r w:rsidR="008906BB" w:rsidRPr="007A3904">
        <w:rPr>
          <w:rFonts w:ascii="Century Gothic" w:hAnsi="Century Gothic"/>
          <w:lang w:val="es-MX"/>
        </w:rPr>
        <w:t xml:space="preserve"> de presentar</w:t>
      </w:r>
      <w:r w:rsidR="00ED1255" w:rsidRPr="007A3904">
        <w:rPr>
          <w:rFonts w:ascii="Century Gothic" w:hAnsi="Century Gothic"/>
          <w:lang w:val="es-MX"/>
        </w:rPr>
        <w:t xml:space="preserve"> </w:t>
      </w:r>
      <w:r w:rsidR="008906BB" w:rsidRPr="007A3904">
        <w:rPr>
          <w:rFonts w:ascii="Century Gothic" w:hAnsi="Century Gothic"/>
          <w:lang w:val="es-MX"/>
        </w:rPr>
        <w:t>una proyección tanto de ingresos como de egresos</w:t>
      </w:r>
      <w:r w:rsidR="001F052B" w:rsidRPr="007A3904">
        <w:rPr>
          <w:rFonts w:ascii="Century Gothic" w:hAnsi="Century Gothic"/>
          <w:lang w:val="es-MX"/>
        </w:rPr>
        <w:t>,</w:t>
      </w:r>
      <w:r w:rsidR="008906BB" w:rsidRPr="007A3904">
        <w:rPr>
          <w:rFonts w:ascii="Century Gothic" w:hAnsi="Century Gothic"/>
          <w:lang w:val="es-MX"/>
        </w:rPr>
        <w:t xml:space="preserve"> para los </w:t>
      </w:r>
      <w:r w:rsidR="008906BB" w:rsidRPr="007A3904">
        <w:rPr>
          <w:rFonts w:ascii="Century Gothic" w:hAnsi="Century Gothic"/>
          <w:lang w:val="es-MX"/>
        </w:rPr>
        <w:lastRenderedPageBreak/>
        <w:t xml:space="preserve">ejercicios fiscales de los 3 años </w:t>
      </w:r>
      <w:r w:rsidR="001F052B" w:rsidRPr="007A3904">
        <w:rPr>
          <w:rFonts w:ascii="Century Gothic" w:hAnsi="Century Gothic"/>
          <w:lang w:val="es-MX"/>
        </w:rPr>
        <w:t>previos y/o los 3 años siguientes, según sea el caso y de</w:t>
      </w:r>
      <w:r w:rsidR="008906BB" w:rsidRPr="007A3904">
        <w:rPr>
          <w:rFonts w:ascii="Century Gothic" w:hAnsi="Century Gothic"/>
          <w:lang w:val="es-MX"/>
        </w:rPr>
        <w:t xml:space="preserve"> conformidad con </w:t>
      </w:r>
      <w:r w:rsidRPr="007A3904">
        <w:rPr>
          <w:rFonts w:ascii="Century Gothic" w:hAnsi="Century Gothic"/>
          <w:lang w:val="es-MX"/>
        </w:rPr>
        <w:t>el numeral 18</w:t>
      </w:r>
      <w:r w:rsidRPr="0050035B">
        <w:rPr>
          <w:rFonts w:ascii="Century Gothic" w:hAnsi="Century Gothic"/>
          <w:lang w:val="es-MX"/>
        </w:rPr>
        <w:t xml:space="preserve"> fracción I de la Ley</w:t>
      </w:r>
      <w:r w:rsidR="00ED1255" w:rsidRPr="0050035B">
        <w:rPr>
          <w:rFonts w:ascii="Century Gothic" w:hAnsi="Century Gothic"/>
          <w:lang w:val="es-MX"/>
        </w:rPr>
        <w:t xml:space="preserve">. </w:t>
      </w:r>
    </w:p>
    <w:p w:rsidR="004459A5" w:rsidRPr="0050035B" w:rsidRDefault="004459A5" w:rsidP="004459A5">
      <w:pPr>
        <w:spacing w:line="360" w:lineRule="auto"/>
        <w:jc w:val="both"/>
        <w:rPr>
          <w:rFonts w:ascii="Century Gothic" w:hAnsi="Century Gothic"/>
          <w:lang w:val="es-MX"/>
        </w:rPr>
      </w:pPr>
    </w:p>
    <w:p w:rsidR="00ED1255" w:rsidRPr="0050035B" w:rsidRDefault="001F052B" w:rsidP="004459A5">
      <w:pPr>
        <w:spacing w:line="360" w:lineRule="auto"/>
        <w:ind w:firstLine="720"/>
        <w:jc w:val="both"/>
        <w:rPr>
          <w:rFonts w:ascii="Century Gothic" w:hAnsi="Century Gothic"/>
          <w:lang w:val="es-MX"/>
        </w:rPr>
      </w:pPr>
      <w:r w:rsidRPr="0050035B">
        <w:rPr>
          <w:rFonts w:ascii="Century Gothic" w:hAnsi="Century Gothic"/>
          <w:lang w:val="es-MX"/>
        </w:rPr>
        <w:t>De tal forma que</w:t>
      </w:r>
      <w:r w:rsidR="008906BB" w:rsidRPr="0050035B">
        <w:rPr>
          <w:rFonts w:ascii="Century Gothic" w:hAnsi="Century Gothic"/>
          <w:lang w:val="es-MX"/>
        </w:rPr>
        <w:t>, con fecha 11 de octubre de 2016 fueron emitidos los “Criterios para la elaboración y presentación homogénea de la información financiera y de los formatos a que hace referencia la Ley de Disciplina Financiera de las Entidades Federativas y los Municipios”</w:t>
      </w:r>
      <w:r w:rsidRPr="0050035B">
        <w:rPr>
          <w:rFonts w:ascii="Century Gothic" w:hAnsi="Century Gothic"/>
          <w:lang w:val="es-MX"/>
        </w:rPr>
        <w:t>,</w:t>
      </w:r>
      <w:r w:rsidR="008906BB" w:rsidRPr="0050035B">
        <w:rPr>
          <w:rFonts w:ascii="Century Gothic" w:hAnsi="Century Gothic"/>
          <w:lang w:val="es-MX"/>
        </w:rPr>
        <w:t xml:space="preserve"> que establece </w:t>
      </w:r>
      <w:r w:rsidR="004459A5" w:rsidRPr="0050035B">
        <w:rPr>
          <w:rFonts w:ascii="Century Gothic" w:hAnsi="Century Gothic"/>
          <w:lang w:val="es-MX"/>
        </w:rPr>
        <w:t>la forma en la que deberán presentarse las</w:t>
      </w:r>
      <w:r w:rsidR="008906BB" w:rsidRPr="0050035B">
        <w:rPr>
          <w:rFonts w:ascii="Century Gothic" w:hAnsi="Century Gothic"/>
          <w:lang w:val="es-MX"/>
        </w:rPr>
        <w:t xml:space="preserve"> Proyecc</w:t>
      </w:r>
      <w:r w:rsidR="00F470D9">
        <w:rPr>
          <w:rFonts w:ascii="Century Gothic" w:hAnsi="Century Gothic"/>
          <w:lang w:val="es-MX"/>
        </w:rPr>
        <w:t>iones de Ingresos (formato 7</w:t>
      </w:r>
      <w:r w:rsidR="004459A5" w:rsidRPr="0050035B">
        <w:rPr>
          <w:rFonts w:ascii="Century Gothic" w:hAnsi="Century Gothic"/>
          <w:lang w:val="es-MX"/>
        </w:rPr>
        <w:t>a)</w:t>
      </w:r>
      <w:r w:rsidRPr="0050035B">
        <w:rPr>
          <w:rFonts w:ascii="Century Gothic" w:hAnsi="Century Gothic"/>
          <w:lang w:val="es-MX"/>
        </w:rPr>
        <w:t xml:space="preserve"> y la forma en que se presentarán los </w:t>
      </w:r>
      <w:r w:rsidR="00ED1255" w:rsidRPr="0050035B">
        <w:rPr>
          <w:rFonts w:ascii="Century Gothic" w:hAnsi="Century Gothic"/>
          <w:lang w:val="es-MX"/>
        </w:rPr>
        <w:t>“Result</w:t>
      </w:r>
      <w:r w:rsidR="00F470D9">
        <w:rPr>
          <w:rFonts w:ascii="Century Gothic" w:hAnsi="Century Gothic"/>
          <w:lang w:val="es-MX"/>
        </w:rPr>
        <w:t>ados de Ingresos” (formato 7</w:t>
      </w:r>
      <w:r w:rsidRPr="0050035B">
        <w:rPr>
          <w:rFonts w:ascii="Century Gothic" w:hAnsi="Century Gothic"/>
          <w:lang w:val="es-MX"/>
        </w:rPr>
        <w:t xml:space="preserve">c). </w:t>
      </w:r>
      <w:r w:rsidR="006E5EE7">
        <w:rPr>
          <w:rFonts w:ascii="Century Gothic" w:hAnsi="Century Gothic"/>
          <w:lang w:val="es-MX"/>
        </w:rPr>
        <w:t>La</w:t>
      </w:r>
      <w:r w:rsidRPr="0050035B">
        <w:rPr>
          <w:rFonts w:ascii="Century Gothic" w:hAnsi="Century Gothic"/>
          <w:lang w:val="es-MX"/>
        </w:rPr>
        <w:t xml:space="preserve"> tabla 3.2 y 3.3 presentan la información respecto a Monterrey. </w:t>
      </w:r>
    </w:p>
    <w:p w:rsidR="008906BB" w:rsidRPr="0050035B" w:rsidRDefault="008906BB" w:rsidP="000F74E8">
      <w:pPr>
        <w:spacing w:line="360" w:lineRule="auto"/>
        <w:jc w:val="both"/>
        <w:rPr>
          <w:rFonts w:ascii="Century Gothic" w:hAnsi="Century Gothic"/>
          <w:lang w:val="es-MX"/>
        </w:rPr>
      </w:pPr>
    </w:p>
    <w:p w:rsidR="00A7468B" w:rsidRDefault="0048042A" w:rsidP="00A205DF">
      <w:pPr>
        <w:spacing w:line="360" w:lineRule="auto"/>
        <w:jc w:val="both"/>
        <w:rPr>
          <w:rFonts w:ascii="Century Gothic" w:hAnsi="Century Gothic"/>
          <w:color w:val="000000" w:themeColor="text1"/>
          <w:lang w:val="es-MX"/>
        </w:rPr>
      </w:pPr>
      <w:r w:rsidRPr="0050035B">
        <w:rPr>
          <w:rFonts w:ascii="Century Gothic" w:hAnsi="Century Gothic"/>
          <w:color w:val="000000" w:themeColor="text1"/>
          <w:lang w:val="es-MX"/>
        </w:rPr>
        <w:tab/>
      </w:r>
      <w:r w:rsidR="00A7468B">
        <w:rPr>
          <w:rFonts w:ascii="Century Gothic" w:hAnsi="Century Gothic"/>
          <w:color w:val="000000" w:themeColor="text1"/>
          <w:lang w:val="es-MX"/>
        </w:rPr>
        <w:t xml:space="preserve">En la tabla 3.2 que contiene el análisis de los resultados de los ingresos, se puede apreciar que, en materia de ingresos de libre disposición, se cuenta con un crecimiento sostenido, el descenso en el año 2020, que posteriormente se convirtió en un incremento marginal en los resultados de los ingresos 2021, se justifica derivado de los efectos de la pandemia y las acciones tomadas, que como ya se mencionó trajeron dificultades a la economía de los regiomontanos. </w:t>
      </w:r>
    </w:p>
    <w:p w:rsidR="00A7468B" w:rsidRDefault="00A7468B" w:rsidP="00A205DF">
      <w:pPr>
        <w:spacing w:line="360" w:lineRule="auto"/>
        <w:jc w:val="both"/>
        <w:rPr>
          <w:rFonts w:ascii="Century Gothic" w:hAnsi="Century Gothic"/>
          <w:color w:val="000000" w:themeColor="text1"/>
          <w:lang w:val="es-MX"/>
        </w:rPr>
      </w:pPr>
    </w:p>
    <w:p w:rsidR="006E5EE7" w:rsidRDefault="00A7468B" w:rsidP="006E5EE7">
      <w:pPr>
        <w:spacing w:line="360" w:lineRule="auto"/>
        <w:ind w:firstLine="720"/>
        <w:jc w:val="both"/>
        <w:rPr>
          <w:rFonts w:ascii="Century Gothic" w:hAnsi="Century Gothic"/>
          <w:lang w:val="es-MX"/>
        </w:rPr>
      </w:pPr>
      <w:r>
        <w:rPr>
          <w:rFonts w:ascii="Century Gothic" w:hAnsi="Century Gothic"/>
          <w:color w:val="000000" w:themeColor="text1"/>
          <w:lang w:val="es-MX"/>
        </w:rPr>
        <w:t xml:space="preserve"> </w:t>
      </w:r>
      <w:r>
        <w:rPr>
          <w:rFonts w:ascii="Century Gothic" w:hAnsi="Century Gothic"/>
          <w:lang w:val="es-MX"/>
        </w:rPr>
        <w:t>Por otra parte, como se</w:t>
      </w:r>
      <w:r w:rsidR="0048042A" w:rsidRPr="0050035B">
        <w:rPr>
          <w:rFonts w:ascii="Century Gothic" w:hAnsi="Century Gothic"/>
          <w:lang w:val="es-MX"/>
        </w:rPr>
        <w:t xml:space="preserve"> puede apreciar en la tabla 3.2, se prevé un comportamiento estable de los ingresos para el Municipio de Monterrey dentro de los años proyectados</w:t>
      </w:r>
      <w:r>
        <w:rPr>
          <w:rFonts w:ascii="Century Gothic" w:hAnsi="Century Gothic"/>
          <w:lang w:val="es-MX"/>
        </w:rPr>
        <w:t xml:space="preserve"> y un crecimiento mesurado en los ingresos derivados de transferencias federales etiquetadas</w:t>
      </w:r>
      <w:r w:rsidR="0048042A" w:rsidRPr="0050035B">
        <w:rPr>
          <w:rFonts w:ascii="Century Gothic" w:hAnsi="Century Gothic"/>
          <w:lang w:val="es-MX"/>
        </w:rPr>
        <w:t xml:space="preserve">, </w:t>
      </w:r>
      <w:r w:rsidR="0061597E" w:rsidRPr="0050035B">
        <w:rPr>
          <w:rFonts w:ascii="Century Gothic" w:hAnsi="Century Gothic"/>
          <w:lang w:val="es-MX"/>
        </w:rPr>
        <w:t>toda vez que</w:t>
      </w:r>
      <w:r w:rsidR="00BF2D03" w:rsidRPr="0050035B">
        <w:rPr>
          <w:rFonts w:ascii="Century Gothic" w:hAnsi="Century Gothic"/>
          <w:lang w:val="es-MX"/>
        </w:rPr>
        <w:t xml:space="preserve"> </w:t>
      </w:r>
      <w:r w:rsidR="007C7918" w:rsidRPr="0050035B">
        <w:rPr>
          <w:rFonts w:ascii="Century Gothic" w:hAnsi="Century Gothic"/>
          <w:lang w:val="es-MX"/>
        </w:rPr>
        <w:t>el contexto deriva</w:t>
      </w:r>
      <w:r w:rsidR="006E5EE7">
        <w:rPr>
          <w:rFonts w:ascii="Century Gothic" w:hAnsi="Century Gothic"/>
          <w:lang w:val="es-MX"/>
        </w:rPr>
        <w:t>do de la pandemia no se acentúe,</w:t>
      </w:r>
      <w:r w:rsidR="007C7918" w:rsidRPr="0050035B">
        <w:rPr>
          <w:rFonts w:ascii="Century Gothic" w:hAnsi="Century Gothic"/>
          <w:lang w:val="es-MX"/>
        </w:rPr>
        <w:t xml:space="preserve"> se </w:t>
      </w:r>
      <w:r>
        <w:rPr>
          <w:rFonts w:ascii="Century Gothic" w:hAnsi="Century Gothic"/>
          <w:lang w:val="es-MX"/>
        </w:rPr>
        <w:t xml:space="preserve">mantenga la reapertura económica y el nivel de vacunación actual y derivado de ello </w:t>
      </w:r>
      <w:r w:rsidR="006E5EE7">
        <w:rPr>
          <w:rFonts w:ascii="Century Gothic" w:hAnsi="Century Gothic"/>
          <w:lang w:val="es-MX"/>
        </w:rPr>
        <w:t xml:space="preserve">exista </w:t>
      </w:r>
      <w:r>
        <w:rPr>
          <w:rFonts w:ascii="Century Gothic" w:hAnsi="Century Gothic"/>
          <w:lang w:val="es-MX"/>
        </w:rPr>
        <w:t xml:space="preserve">una </w:t>
      </w:r>
      <w:r w:rsidR="007C7918" w:rsidRPr="0050035B">
        <w:rPr>
          <w:rFonts w:ascii="Century Gothic" w:hAnsi="Century Gothic"/>
          <w:lang w:val="es-MX"/>
        </w:rPr>
        <w:t>recuperación económica</w:t>
      </w:r>
      <w:r>
        <w:rPr>
          <w:rFonts w:ascii="Century Gothic" w:hAnsi="Century Gothic"/>
          <w:lang w:val="es-MX"/>
        </w:rPr>
        <w:t xml:space="preserve"> generalizada</w:t>
      </w:r>
      <w:r w:rsidR="007C7918" w:rsidRPr="0050035B">
        <w:rPr>
          <w:rFonts w:ascii="Century Gothic" w:hAnsi="Century Gothic"/>
          <w:lang w:val="es-MX"/>
        </w:rPr>
        <w:t xml:space="preserve">. </w:t>
      </w:r>
    </w:p>
    <w:p w:rsidR="006E5EE7" w:rsidRDefault="006E5EE7" w:rsidP="006E5EE7">
      <w:pPr>
        <w:spacing w:line="360" w:lineRule="auto"/>
        <w:ind w:firstLine="720"/>
        <w:jc w:val="both"/>
        <w:rPr>
          <w:rFonts w:ascii="Century Gothic" w:hAnsi="Century Gothic"/>
          <w:lang w:val="es-MX"/>
        </w:rPr>
      </w:pPr>
    </w:p>
    <w:p w:rsidR="00BF2D03" w:rsidRPr="0050035B" w:rsidRDefault="007C7918" w:rsidP="006E5EE7">
      <w:pPr>
        <w:spacing w:line="360" w:lineRule="auto"/>
        <w:ind w:firstLine="720"/>
        <w:jc w:val="both"/>
        <w:rPr>
          <w:rFonts w:ascii="Century Gothic" w:hAnsi="Century Gothic"/>
          <w:lang w:val="es-MX"/>
        </w:rPr>
      </w:pPr>
      <w:r w:rsidRPr="0050035B">
        <w:rPr>
          <w:rFonts w:ascii="Century Gothic" w:hAnsi="Century Gothic"/>
          <w:lang w:val="es-MX"/>
        </w:rPr>
        <w:lastRenderedPageBreak/>
        <w:t xml:space="preserve"> Por esto se vuelve primordial, que </w:t>
      </w:r>
      <w:r w:rsidR="00BF2D03" w:rsidRPr="0050035B">
        <w:rPr>
          <w:rFonts w:ascii="Century Gothic" w:hAnsi="Century Gothic"/>
          <w:lang w:val="es-MX"/>
        </w:rPr>
        <w:t>se continú</w:t>
      </w:r>
      <w:r w:rsidR="0061597E" w:rsidRPr="0050035B">
        <w:rPr>
          <w:rFonts w:ascii="Century Gothic" w:hAnsi="Century Gothic"/>
          <w:lang w:val="es-MX"/>
        </w:rPr>
        <w:t>e</w:t>
      </w:r>
      <w:r w:rsidR="00BF2D03" w:rsidRPr="0050035B">
        <w:rPr>
          <w:rFonts w:ascii="Century Gothic" w:hAnsi="Century Gothic"/>
          <w:lang w:val="es-MX"/>
        </w:rPr>
        <w:t>n realizando las acciones que hast</w:t>
      </w:r>
      <w:r w:rsidRPr="0050035B">
        <w:rPr>
          <w:rFonts w:ascii="Century Gothic" w:hAnsi="Century Gothic"/>
          <w:lang w:val="es-MX"/>
        </w:rPr>
        <w:t xml:space="preserve">a la fecha se han implementado: </w:t>
      </w:r>
      <w:r w:rsidR="00BF2D03" w:rsidRPr="0050035B">
        <w:rPr>
          <w:rFonts w:ascii="Century Gothic" w:hAnsi="Century Gothic"/>
          <w:lang w:val="es-MX"/>
        </w:rPr>
        <w:t>mejora en las herramientas y programas para cobro de impuestos y contribuciones, manejo adecuado del servicio de la deuda incluyendo la proveeduría de corto plazo y de manera implac</w:t>
      </w:r>
      <w:r w:rsidRPr="0050035B">
        <w:rPr>
          <w:rFonts w:ascii="Century Gothic" w:hAnsi="Century Gothic"/>
          <w:lang w:val="es-MX"/>
        </w:rPr>
        <w:t xml:space="preserve">able la priorización del gasto; </w:t>
      </w:r>
      <w:r w:rsidR="006E5EE7">
        <w:rPr>
          <w:rFonts w:ascii="Century Gothic" w:hAnsi="Century Gothic"/>
          <w:lang w:val="es-MX"/>
        </w:rPr>
        <w:t>para</w:t>
      </w:r>
      <w:r w:rsidRPr="0050035B">
        <w:rPr>
          <w:rFonts w:ascii="Century Gothic" w:hAnsi="Century Gothic"/>
          <w:lang w:val="es-MX"/>
        </w:rPr>
        <w:t xml:space="preserve"> que </w:t>
      </w:r>
      <w:r w:rsidR="006E5EE7">
        <w:rPr>
          <w:rFonts w:ascii="Century Gothic" w:hAnsi="Century Gothic"/>
          <w:lang w:val="es-MX"/>
        </w:rPr>
        <w:t xml:space="preserve">se </w:t>
      </w:r>
      <w:r w:rsidRPr="0050035B">
        <w:rPr>
          <w:rFonts w:ascii="Century Gothic" w:hAnsi="Century Gothic"/>
          <w:lang w:val="es-MX"/>
        </w:rPr>
        <w:t>puedan</w:t>
      </w:r>
      <w:r w:rsidR="00BF2D03" w:rsidRPr="0050035B">
        <w:rPr>
          <w:rFonts w:ascii="Century Gothic" w:hAnsi="Century Gothic"/>
          <w:lang w:val="es-MX"/>
        </w:rPr>
        <w:t xml:space="preserve"> </w:t>
      </w:r>
      <w:r w:rsidR="006E5EE7">
        <w:rPr>
          <w:rFonts w:ascii="Century Gothic" w:hAnsi="Century Gothic"/>
          <w:lang w:val="es-MX"/>
        </w:rPr>
        <w:t>materializar</w:t>
      </w:r>
      <w:r w:rsidR="00BF2D03" w:rsidRPr="0050035B">
        <w:rPr>
          <w:rFonts w:ascii="Century Gothic" w:hAnsi="Century Gothic"/>
          <w:lang w:val="es-MX"/>
        </w:rPr>
        <w:t xml:space="preserve"> los incrementos mostrados en dicha p</w:t>
      </w:r>
      <w:r w:rsidR="0061597E" w:rsidRPr="0050035B">
        <w:rPr>
          <w:rFonts w:ascii="Century Gothic" w:hAnsi="Century Gothic"/>
          <w:lang w:val="es-MX"/>
        </w:rPr>
        <w:t xml:space="preserve">royección. </w:t>
      </w:r>
    </w:p>
    <w:p w:rsidR="007C7918" w:rsidRPr="0050035B" w:rsidRDefault="007C7918" w:rsidP="00A205DF">
      <w:pPr>
        <w:spacing w:line="360" w:lineRule="auto"/>
        <w:jc w:val="both"/>
        <w:rPr>
          <w:rFonts w:ascii="Century Gothic" w:hAnsi="Century Gothic"/>
          <w:lang w:val="es-MX"/>
        </w:rPr>
      </w:pPr>
    </w:p>
    <w:p w:rsidR="0061597E" w:rsidRPr="0050035B" w:rsidRDefault="00BF2D03" w:rsidP="00BF2D03">
      <w:pPr>
        <w:spacing w:line="360" w:lineRule="auto"/>
        <w:ind w:firstLine="720"/>
        <w:jc w:val="both"/>
        <w:rPr>
          <w:rFonts w:ascii="Century Gothic" w:hAnsi="Century Gothic"/>
          <w:lang w:val="es-MX"/>
        </w:rPr>
      </w:pPr>
      <w:r w:rsidRPr="0050035B">
        <w:rPr>
          <w:rFonts w:ascii="Century Gothic" w:hAnsi="Century Gothic"/>
          <w:lang w:val="es-MX"/>
        </w:rPr>
        <w:t>Adicional a lo señalado previamente, de mantenerse esta tendencia la propia inercia de recaudación de ingresos permitirá acceder a mejores</w:t>
      </w:r>
      <w:r w:rsidR="00F439A3" w:rsidRPr="0050035B">
        <w:rPr>
          <w:rFonts w:ascii="Century Gothic" w:hAnsi="Century Gothic"/>
          <w:lang w:val="es-MX"/>
        </w:rPr>
        <w:t xml:space="preserve"> indicadores de eficiencia recaudatoria que a su</w:t>
      </w:r>
      <w:r w:rsidRPr="0050035B">
        <w:rPr>
          <w:rFonts w:ascii="Century Gothic" w:hAnsi="Century Gothic"/>
          <w:lang w:val="es-MX"/>
        </w:rPr>
        <w:t xml:space="preserve"> vez</w:t>
      </w:r>
      <w:r w:rsidR="0048042A" w:rsidRPr="0050035B">
        <w:rPr>
          <w:rFonts w:ascii="Century Gothic" w:hAnsi="Century Gothic"/>
          <w:lang w:val="es-MX"/>
        </w:rPr>
        <w:t xml:space="preserve"> </w:t>
      </w:r>
      <w:r w:rsidR="00F439A3" w:rsidRPr="0050035B">
        <w:rPr>
          <w:rFonts w:ascii="Century Gothic" w:hAnsi="Century Gothic"/>
          <w:lang w:val="es-MX"/>
        </w:rPr>
        <w:t xml:space="preserve">generará mayor número de participaciones federales. </w:t>
      </w:r>
      <w:r w:rsidR="0061597E" w:rsidRPr="0050035B">
        <w:rPr>
          <w:rFonts w:ascii="Century Gothic" w:hAnsi="Century Gothic"/>
          <w:lang w:val="es-MX"/>
        </w:rPr>
        <w:t>Por lo que para efectos de la proyección presentada se consideraron específicamente:</w:t>
      </w:r>
    </w:p>
    <w:p w:rsidR="0061597E" w:rsidRPr="0050035B" w:rsidRDefault="00D24C40" w:rsidP="00F845F1">
      <w:pPr>
        <w:pStyle w:val="Prrafodelista"/>
        <w:numPr>
          <w:ilvl w:val="0"/>
          <w:numId w:val="8"/>
        </w:numPr>
        <w:spacing w:line="360" w:lineRule="auto"/>
        <w:jc w:val="both"/>
        <w:rPr>
          <w:rFonts w:ascii="Century Gothic" w:hAnsi="Century Gothic"/>
          <w:lang w:val="es-MX"/>
        </w:rPr>
      </w:pPr>
      <w:r w:rsidRPr="0050035B">
        <w:rPr>
          <w:rFonts w:ascii="Century Gothic" w:hAnsi="Century Gothic"/>
          <w:lang w:val="es-MX"/>
        </w:rPr>
        <w:t xml:space="preserve">Inflación estimada al </w:t>
      </w:r>
      <w:r w:rsidR="00A7468B">
        <w:rPr>
          <w:rFonts w:ascii="Century Gothic" w:hAnsi="Century Gothic"/>
          <w:lang w:val="es-MX"/>
        </w:rPr>
        <w:t>4.</w:t>
      </w:r>
      <w:r w:rsidR="008B2E3E">
        <w:rPr>
          <w:rFonts w:ascii="Century Gothic" w:hAnsi="Century Gothic"/>
          <w:lang w:val="es-MX"/>
        </w:rPr>
        <w:t>1</w:t>
      </w:r>
      <w:r w:rsidR="0061597E" w:rsidRPr="0050035B">
        <w:rPr>
          <w:rFonts w:ascii="Century Gothic" w:hAnsi="Century Gothic"/>
          <w:lang w:val="es-MX"/>
        </w:rPr>
        <w:t>%</w:t>
      </w:r>
      <w:r w:rsidRPr="0050035B">
        <w:rPr>
          <w:rFonts w:ascii="Century Gothic" w:hAnsi="Century Gothic"/>
          <w:lang w:val="es-MX"/>
        </w:rPr>
        <w:t>;</w:t>
      </w:r>
    </w:p>
    <w:p w:rsidR="00A205DF" w:rsidRDefault="00E17E9E" w:rsidP="00F845F1">
      <w:pPr>
        <w:pStyle w:val="Prrafodelista"/>
        <w:numPr>
          <w:ilvl w:val="0"/>
          <w:numId w:val="8"/>
        </w:numPr>
        <w:spacing w:line="360" w:lineRule="auto"/>
        <w:jc w:val="both"/>
        <w:rPr>
          <w:rFonts w:ascii="Century Gothic" w:hAnsi="Century Gothic"/>
          <w:lang w:val="es-MX"/>
        </w:rPr>
      </w:pPr>
      <w:r w:rsidRPr="0050035B">
        <w:rPr>
          <w:rFonts w:ascii="Century Gothic" w:hAnsi="Century Gothic"/>
          <w:lang w:val="es-MX"/>
        </w:rPr>
        <w:t>Eficiencia recaudatoria</w:t>
      </w:r>
      <w:r w:rsidR="0050603A" w:rsidRPr="0050035B">
        <w:rPr>
          <w:rFonts w:ascii="Century Gothic" w:hAnsi="Century Gothic"/>
          <w:lang w:val="es-MX"/>
        </w:rPr>
        <w:t xml:space="preserve"> 202</w:t>
      </w:r>
      <w:r w:rsidR="00A7468B">
        <w:rPr>
          <w:rFonts w:ascii="Century Gothic" w:hAnsi="Century Gothic"/>
          <w:lang w:val="es-MX"/>
        </w:rPr>
        <w:t>1</w:t>
      </w:r>
      <w:r w:rsidR="00D24C40" w:rsidRPr="0050035B">
        <w:rPr>
          <w:rFonts w:ascii="Century Gothic" w:hAnsi="Century Gothic"/>
          <w:lang w:val="es-MX"/>
        </w:rPr>
        <w:t>;</w:t>
      </w:r>
    </w:p>
    <w:p w:rsidR="00A7468B" w:rsidRPr="0050035B" w:rsidRDefault="00A7468B" w:rsidP="00F845F1">
      <w:pPr>
        <w:pStyle w:val="Prrafodelista"/>
        <w:numPr>
          <w:ilvl w:val="0"/>
          <w:numId w:val="8"/>
        </w:numPr>
        <w:spacing w:line="360" w:lineRule="auto"/>
        <w:jc w:val="both"/>
        <w:rPr>
          <w:rFonts w:ascii="Century Gothic" w:hAnsi="Century Gothic"/>
          <w:lang w:val="es-MX"/>
        </w:rPr>
      </w:pPr>
      <w:r>
        <w:rPr>
          <w:rFonts w:ascii="Century Gothic" w:hAnsi="Century Gothic"/>
          <w:lang w:val="es-MX"/>
        </w:rPr>
        <w:t>Ingresos Reales hasta el tercer trimestre, con proyección de ingresos del cuarto trimestre;</w:t>
      </w:r>
    </w:p>
    <w:p w:rsidR="001D1BB3" w:rsidRPr="0050035B" w:rsidRDefault="001D1BB3">
      <w:pPr>
        <w:rPr>
          <w:rFonts w:ascii="Century Gothic" w:hAnsi="Century Gothic"/>
          <w:lang w:val="es-MX"/>
        </w:rPr>
      </w:pPr>
      <w:r w:rsidRPr="0050035B">
        <w:rPr>
          <w:rFonts w:ascii="Century Gothic" w:hAnsi="Century Gothic"/>
          <w:lang w:val="es-MX"/>
        </w:rPr>
        <w:br w:type="page"/>
      </w:r>
    </w:p>
    <w:p w:rsidR="00CB1491" w:rsidRPr="0050035B" w:rsidRDefault="00043E90" w:rsidP="001D1BB3">
      <w:pPr>
        <w:pStyle w:val="Prrafodelista"/>
        <w:autoSpaceDE w:val="0"/>
        <w:autoSpaceDN w:val="0"/>
        <w:adjustRightInd w:val="0"/>
        <w:ind w:left="1080"/>
        <w:rPr>
          <w:color w:val="1E1C1F"/>
          <w:sz w:val="20"/>
          <w:lang w:val="es-MX"/>
        </w:rPr>
      </w:pPr>
      <w:r w:rsidRPr="0050035B">
        <w:rPr>
          <w:rFonts w:ascii="Century Gothic" w:hAnsi="Century Gothic"/>
          <w:b/>
          <w:lang w:val="es-MX"/>
        </w:rPr>
        <w:lastRenderedPageBreak/>
        <w:t>Tabla 3.2</w:t>
      </w:r>
      <w:r w:rsidR="00CB1491" w:rsidRPr="0050035B">
        <w:rPr>
          <w:rFonts w:ascii="Century Gothic" w:hAnsi="Century Gothic"/>
          <w:b/>
          <w:lang w:val="es-MX"/>
        </w:rPr>
        <w:t>.</w:t>
      </w:r>
      <w:r w:rsidR="00CB1491" w:rsidRPr="0050035B">
        <w:rPr>
          <w:rFonts w:ascii="Century Gothic" w:hAnsi="Century Gothic"/>
          <w:lang w:val="es-MX"/>
        </w:rPr>
        <w:t xml:space="preserve"> Resultados de los</w:t>
      </w:r>
      <w:r w:rsidR="00CB1491" w:rsidRPr="0050035B">
        <w:rPr>
          <w:rFonts w:ascii="Century Gothic" w:hAnsi="Century Gothic"/>
          <w:sz w:val="22"/>
          <w:szCs w:val="22"/>
          <w:lang w:val="es-MX"/>
        </w:rPr>
        <w:t xml:space="preserve"> Ingresos 201</w:t>
      </w:r>
      <w:r w:rsidR="00C95B5B">
        <w:rPr>
          <w:rFonts w:ascii="Century Gothic" w:hAnsi="Century Gothic"/>
          <w:sz w:val="22"/>
          <w:szCs w:val="22"/>
          <w:lang w:val="es-MX"/>
        </w:rPr>
        <w:t>6-2021</w:t>
      </w:r>
      <w:r w:rsidR="00CB1491" w:rsidRPr="0050035B">
        <w:rPr>
          <w:rFonts w:ascii="Century Gothic" w:hAnsi="Century Gothic"/>
          <w:sz w:val="22"/>
          <w:szCs w:val="22"/>
          <w:lang w:val="es-MX"/>
        </w:rPr>
        <w:t xml:space="preserve"> </w:t>
      </w:r>
      <w:r w:rsidR="00CB1491" w:rsidRPr="0050035B">
        <w:rPr>
          <w:rStyle w:val="Refdenotaalpie"/>
          <w:color w:val="1E1C1F"/>
          <w:lang w:val="es-MX"/>
        </w:rPr>
        <w:footnoteReference w:id="27"/>
      </w:r>
      <w:r w:rsidR="00CB1491" w:rsidRPr="0050035B">
        <w:rPr>
          <w:color w:val="1E1C1F"/>
          <w:sz w:val="20"/>
          <w:lang w:val="es-MX"/>
        </w:rPr>
        <w:t>.</w:t>
      </w:r>
    </w:p>
    <w:p w:rsidR="00CB1491" w:rsidRPr="0050035B" w:rsidRDefault="00CB1491">
      <w:pPr>
        <w:rPr>
          <w:rFonts w:ascii="Century Gothic" w:hAnsi="Century Gothic"/>
          <w:b/>
          <w:sz w:val="22"/>
          <w:szCs w:val="22"/>
          <w:lang w:val="es-MX"/>
        </w:rPr>
      </w:pPr>
    </w:p>
    <w:tbl>
      <w:tblPr>
        <w:tblStyle w:val="Tablaconcuadrcula"/>
        <w:tblW w:w="5461" w:type="pct"/>
        <w:tblInd w:w="-998" w:type="dxa"/>
        <w:tblLook w:val="04A0" w:firstRow="1" w:lastRow="0" w:firstColumn="1" w:lastColumn="0" w:noHBand="0" w:noVBand="1"/>
      </w:tblPr>
      <w:tblGrid>
        <w:gridCol w:w="2109"/>
        <w:gridCol w:w="1252"/>
        <w:gridCol w:w="1252"/>
        <w:gridCol w:w="1250"/>
        <w:gridCol w:w="1250"/>
        <w:gridCol w:w="1252"/>
        <w:gridCol w:w="1252"/>
      </w:tblGrid>
      <w:tr w:rsidR="00CB1491" w:rsidRPr="0050035B" w:rsidTr="00E44364">
        <w:trPr>
          <w:trHeight w:val="132"/>
        </w:trPr>
        <w:tc>
          <w:tcPr>
            <w:tcW w:w="5000" w:type="pct"/>
            <w:gridSpan w:val="7"/>
            <w:shd w:val="clear" w:color="auto" w:fill="FABF8F" w:themeFill="accent6" w:themeFillTint="99"/>
            <w:noWrap/>
            <w:hideMark/>
          </w:tcPr>
          <w:p w:rsidR="00CB1491" w:rsidRPr="0050035B" w:rsidRDefault="00CB1491" w:rsidP="00CB1491">
            <w:pPr>
              <w:jc w:val="center"/>
              <w:rPr>
                <w:rFonts w:ascii="Century Gothic" w:eastAsia="Times New Roman" w:hAnsi="Century Gothic" w:cs="Calibri"/>
                <w:b/>
                <w:color w:val="000000"/>
                <w:sz w:val="12"/>
                <w:szCs w:val="18"/>
                <w:lang w:eastAsia="es-MX"/>
              </w:rPr>
            </w:pPr>
            <w:r w:rsidRPr="0050035B">
              <w:rPr>
                <w:rFonts w:ascii="Century Gothic" w:eastAsia="Times New Roman" w:hAnsi="Century Gothic" w:cs="Calibri"/>
                <w:b/>
                <w:color w:val="000000"/>
                <w:sz w:val="12"/>
                <w:szCs w:val="18"/>
                <w:lang w:eastAsia="es-MX"/>
              </w:rPr>
              <w:t>MUNICIPIO DE LA CIUDAD DE MONTERREY, NUEVO LEÓN</w:t>
            </w:r>
          </w:p>
        </w:tc>
      </w:tr>
      <w:tr w:rsidR="00CB1491" w:rsidRPr="0050035B" w:rsidTr="00E44364">
        <w:trPr>
          <w:trHeight w:val="72"/>
        </w:trPr>
        <w:tc>
          <w:tcPr>
            <w:tcW w:w="5000" w:type="pct"/>
            <w:gridSpan w:val="7"/>
            <w:shd w:val="clear" w:color="auto" w:fill="FABF8F" w:themeFill="accent6" w:themeFillTint="99"/>
            <w:noWrap/>
            <w:hideMark/>
          </w:tcPr>
          <w:p w:rsidR="00CB1491" w:rsidRPr="0050035B" w:rsidRDefault="00CB1491" w:rsidP="00CB1491">
            <w:pPr>
              <w:jc w:val="center"/>
              <w:rPr>
                <w:rFonts w:ascii="Century Gothic" w:eastAsia="Times New Roman" w:hAnsi="Century Gothic" w:cs="Calibri"/>
                <w:b/>
                <w:color w:val="000000"/>
                <w:sz w:val="12"/>
                <w:szCs w:val="18"/>
                <w:lang w:eastAsia="es-MX"/>
              </w:rPr>
            </w:pPr>
            <w:r w:rsidRPr="0050035B">
              <w:rPr>
                <w:rFonts w:ascii="Century Gothic" w:eastAsia="Times New Roman" w:hAnsi="Century Gothic" w:cs="Calibri"/>
                <w:b/>
                <w:color w:val="000000"/>
                <w:sz w:val="12"/>
                <w:szCs w:val="18"/>
                <w:lang w:eastAsia="es-MX"/>
              </w:rPr>
              <w:t>Resultados de Ingresos - LDF</w:t>
            </w:r>
          </w:p>
        </w:tc>
      </w:tr>
      <w:tr w:rsidR="00CB1491" w:rsidRPr="0050035B" w:rsidTr="00E44364">
        <w:trPr>
          <w:trHeight w:val="72"/>
        </w:trPr>
        <w:tc>
          <w:tcPr>
            <w:tcW w:w="5000" w:type="pct"/>
            <w:gridSpan w:val="7"/>
            <w:shd w:val="clear" w:color="auto" w:fill="FABF8F" w:themeFill="accent6" w:themeFillTint="99"/>
            <w:noWrap/>
            <w:hideMark/>
          </w:tcPr>
          <w:p w:rsidR="00CB1491" w:rsidRPr="0050035B" w:rsidRDefault="00CB1491" w:rsidP="00CB1491">
            <w:pPr>
              <w:jc w:val="center"/>
              <w:rPr>
                <w:rFonts w:ascii="Century Gothic" w:eastAsia="Times New Roman" w:hAnsi="Century Gothic" w:cs="Calibri"/>
                <w:b/>
                <w:color w:val="000000"/>
                <w:sz w:val="12"/>
                <w:szCs w:val="18"/>
                <w:lang w:eastAsia="es-MX"/>
              </w:rPr>
            </w:pPr>
            <w:r w:rsidRPr="0050035B">
              <w:rPr>
                <w:rFonts w:ascii="Century Gothic" w:eastAsia="Times New Roman" w:hAnsi="Century Gothic" w:cs="Calibri"/>
                <w:b/>
                <w:color w:val="000000"/>
                <w:sz w:val="12"/>
                <w:szCs w:val="18"/>
                <w:lang w:eastAsia="es-MX"/>
              </w:rPr>
              <w:t>(PESOS)</w:t>
            </w:r>
          </w:p>
        </w:tc>
      </w:tr>
      <w:tr w:rsidR="00CB1491" w:rsidRPr="0050035B" w:rsidTr="00E44364">
        <w:trPr>
          <w:trHeight w:val="294"/>
        </w:trPr>
        <w:tc>
          <w:tcPr>
            <w:tcW w:w="5000" w:type="pct"/>
            <w:gridSpan w:val="7"/>
            <w:shd w:val="clear" w:color="auto" w:fill="FABF8F" w:themeFill="accent6" w:themeFillTint="99"/>
            <w:noWrap/>
            <w:hideMark/>
          </w:tcPr>
          <w:p w:rsidR="00CB1491" w:rsidRPr="0050035B" w:rsidRDefault="00CB1491" w:rsidP="00CB1491">
            <w:pPr>
              <w:jc w:val="center"/>
              <w:rPr>
                <w:rFonts w:ascii="Century Gothic" w:eastAsia="Times New Roman" w:hAnsi="Century Gothic" w:cs="Calibri"/>
                <w:b/>
                <w:color w:val="000000"/>
                <w:sz w:val="12"/>
                <w:szCs w:val="18"/>
                <w:lang w:eastAsia="es-MX"/>
              </w:rPr>
            </w:pPr>
            <w:r w:rsidRPr="0050035B">
              <w:rPr>
                <w:rFonts w:ascii="Century Gothic" w:eastAsia="Times New Roman" w:hAnsi="Century Gothic" w:cs="Calibri"/>
                <w:b/>
                <w:color w:val="000000"/>
                <w:sz w:val="12"/>
                <w:szCs w:val="18"/>
                <w:lang w:eastAsia="es-MX"/>
              </w:rPr>
              <w:t xml:space="preserve">(CIFRAS NOMINALES) </w:t>
            </w:r>
          </w:p>
        </w:tc>
      </w:tr>
      <w:tr w:rsidR="00C95B5B" w:rsidRPr="0050035B" w:rsidTr="00E44364">
        <w:trPr>
          <w:trHeight w:val="281"/>
        </w:trPr>
        <w:tc>
          <w:tcPr>
            <w:tcW w:w="1096" w:type="pct"/>
            <w:vMerge w:val="restart"/>
            <w:shd w:val="clear" w:color="auto" w:fill="FABF8F" w:themeFill="accent6" w:themeFillTint="99"/>
            <w:hideMark/>
          </w:tcPr>
          <w:p w:rsidR="00C95B5B" w:rsidRPr="00C95B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Concepto (b)</w:t>
            </w:r>
          </w:p>
        </w:tc>
        <w:tc>
          <w:tcPr>
            <w:tcW w:w="651" w:type="pct"/>
            <w:vMerge w:val="restart"/>
            <w:shd w:val="clear" w:color="auto" w:fill="FABF8F" w:themeFill="accent6" w:themeFillTint="99"/>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Año 4 (2016)</w:t>
            </w:r>
          </w:p>
        </w:tc>
        <w:tc>
          <w:tcPr>
            <w:tcW w:w="651" w:type="pct"/>
            <w:vMerge w:val="restart"/>
            <w:shd w:val="clear" w:color="auto" w:fill="FABF8F" w:themeFill="accent6" w:themeFillTint="99"/>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Año 3 (2017)</w:t>
            </w:r>
          </w:p>
        </w:tc>
        <w:tc>
          <w:tcPr>
            <w:tcW w:w="650" w:type="pct"/>
            <w:vMerge w:val="restart"/>
            <w:shd w:val="clear" w:color="auto" w:fill="FABF8F" w:themeFill="accent6" w:themeFillTint="99"/>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Año 2 (2018)</w:t>
            </w:r>
          </w:p>
        </w:tc>
        <w:tc>
          <w:tcPr>
            <w:tcW w:w="650" w:type="pct"/>
            <w:vMerge w:val="restart"/>
            <w:shd w:val="clear" w:color="auto" w:fill="FABF8F" w:themeFill="accent6" w:themeFillTint="99"/>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Año 1 (2019)</w:t>
            </w:r>
          </w:p>
        </w:tc>
        <w:tc>
          <w:tcPr>
            <w:tcW w:w="651" w:type="pct"/>
            <w:vMerge w:val="restart"/>
            <w:shd w:val="clear" w:color="auto" w:fill="FABF8F" w:themeFill="accent6" w:themeFillTint="99"/>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Año 1 (2020)</w:t>
            </w:r>
          </w:p>
        </w:tc>
        <w:tc>
          <w:tcPr>
            <w:tcW w:w="649" w:type="pct"/>
            <w:vMerge w:val="restart"/>
            <w:shd w:val="clear" w:color="auto" w:fill="FABF8F" w:themeFill="accent6" w:themeFillTint="99"/>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Año del Ejercicio Vigente 2021</w:t>
            </w:r>
          </w:p>
        </w:tc>
      </w:tr>
      <w:tr w:rsidR="00CB1491" w:rsidRPr="0050035B" w:rsidTr="00E44364">
        <w:trPr>
          <w:trHeight w:val="281"/>
        </w:trPr>
        <w:tc>
          <w:tcPr>
            <w:tcW w:w="1096" w:type="pct"/>
            <w:vMerge/>
            <w:shd w:val="clear" w:color="auto" w:fill="FABF8F" w:themeFill="accent6" w:themeFillTint="99"/>
            <w:hideMark/>
          </w:tcPr>
          <w:p w:rsidR="00CB1491" w:rsidRPr="0050035B" w:rsidRDefault="00CB1491" w:rsidP="00CB1491">
            <w:pPr>
              <w:rPr>
                <w:rFonts w:ascii="Century Gothic" w:eastAsia="Times New Roman" w:hAnsi="Century Gothic" w:cs="Calibri"/>
                <w:color w:val="000000"/>
                <w:sz w:val="12"/>
                <w:szCs w:val="18"/>
                <w:lang w:eastAsia="es-MX"/>
              </w:rPr>
            </w:pPr>
          </w:p>
        </w:tc>
        <w:tc>
          <w:tcPr>
            <w:tcW w:w="651" w:type="pct"/>
            <w:vMerge/>
            <w:shd w:val="clear" w:color="auto" w:fill="FABF8F" w:themeFill="accent6" w:themeFillTint="99"/>
            <w:hideMark/>
          </w:tcPr>
          <w:p w:rsidR="00CB1491" w:rsidRPr="0050035B" w:rsidRDefault="00CB1491" w:rsidP="00CB1491">
            <w:pPr>
              <w:rPr>
                <w:rFonts w:ascii="Century Gothic" w:eastAsia="Times New Roman" w:hAnsi="Century Gothic" w:cs="Calibri"/>
                <w:b/>
                <w:bCs/>
                <w:color w:val="000000"/>
                <w:sz w:val="12"/>
                <w:szCs w:val="18"/>
                <w:lang w:eastAsia="es-MX"/>
              </w:rPr>
            </w:pPr>
          </w:p>
        </w:tc>
        <w:tc>
          <w:tcPr>
            <w:tcW w:w="651" w:type="pct"/>
            <w:vMerge/>
            <w:shd w:val="clear" w:color="auto" w:fill="FABF8F" w:themeFill="accent6" w:themeFillTint="99"/>
            <w:hideMark/>
          </w:tcPr>
          <w:p w:rsidR="00CB1491" w:rsidRPr="0050035B" w:rsidRDefault="00CB1491" w:rsidP="00CB1491">
            <w:pPr>
              <w:rPr>
                <w:rFonts w:ascii="Century Gothic" w:eastAsia="Times New Roman" w:hAnsi="Century Gothic" w:cs="Calibri"/>
                <w:b/>
                <w:bCs/>
                <w:color w:val="000000"/>
                <w:sz w:val="12"/>
                <w:szCs w:val="18"/>
                <w:lang w:eastAsia="es-MX"/>
              </w:rPr>
            </w:pPr>
          </w:p>
        </w:tc>
        <w:tc>
          <w:tcPr>
            <w:tcW w:w="650" w:type="pct"/>
            <w:vMerge/>
            <w:shd w:val="clear" w:color="auto" w:fill="FABF8F" w:themeFill="accent6" w:themeFillTint="99"/>
            <w:hideMark/>
          </w:tcPr>
          <w:p w:rsidR="00CB1491" w:rsidRPr="0050035B" w:rsidRDefault="00CB1491" w:rsidP="00CB1491">
            <w:pPr>
              <w:rPr>
                <w:rFonts w:ascii="Century Gothic" w:eastAsia="Times New Roman" w:hAnsi="Century Gothic" w:cs="Calibri"/>
                <w:b/>
                <w:bCs/>
                <w:color w:val="000000"/>
                <w:sz w:val="12"/>
                <w:szCs w:val="18"/>
                <w:lang w:eastAsia="es-MX"/>
              </w:rPr>
            </w:pPr>
          </w:p>
        </w:tc>
        <w:tc>
          <w:tcPr>
            <w:tcW w:w="650" w:type="pct"/>
            <w:vMerge/>
            <w:shd w:val="clear" w:color="auto" w:fill="FABF8F" w:themeFill="accent6" w:themeFillTint="99"/>
            <w:hideMark/>
          </w:tcPr>
          <w:p w:rsidR="00CB1491" w:rsidRPr="0050035B" w:rsidRDefault="00CB1491" w:rsidP="00CB1491">
            <w:pPr>
              <w:rPr>
                <w:rFonts w:ascii="Century Gothic" w:eastAsia="Times New Roman" w:hAnsi="Century Gothic" w:cs="Calibri"/>
                <w:b/>
                <w:bCs/>
                <w:color w:val="000000"/>
                <w:sz w:val="12"/>
                <w:szCs w:val="18"/>
                <w:lang w:eastAsia="es-MX"/>
              </w:rPr>
            </w:pPr>
          </w:p>
        </w:tc>
        <w:tc>
          <w:tcPr>
            <w:tcW w:w="651" w:type="pct"/>
            <w:vMerge/>
            <w:shd w:val="clear" w:color="auto" w:fill="FABF8F" w:themeFill="accent6" w:themeFillTint="99"/>
            <w:hideMark/>
          </w:tcPr>
          <w:p w:rsidR="00CB1491" w:rsidRPr="0050035B" w:rsidRDefault="00CB1491" w:rsidP="00CB1491">
            <w:pPr>
              <w:rPr>
                <w:rFonts w:ascii="Century Gothic" w:eastAsia="Times New Roman" w:hAnsi="Century Gothic" w:cs="Calibri"/>
                <w:b/>
                <w:bCs/>
                <w:color w:val="000000"/>
                <w:sz w:val="12"/>
                <w:szCs w:val="18"/>
                <w:lang w:eastAsia="es-MX"/>
              </w:rPr>
            </w:pPr>
          </w:p>
        </w:tc>
        <w:tc>
          <w:tcPr>
            <w:tcW w:w="649" w:type="pct"/>
            <w:vMerge/>
            <w:shd w:val="clear" w:color="auto" w:fill="FABF8F" w:themeFill="accent6" w:themeFillTint="99"/>
            <w:hideMark/>
          </w:tcPr>
          <w:p w:rsidR="00CB1491" w:rsidRPr="0050035B" w:rsidRDefault="00CB1491" w:rsidP="00CB1491">
            <w:pPr>
              <w:rPr>
                <w:rFonts w:ascii="Century Gothic" w:eastAsia="Times New Roman" w:hAnsi="Century Gothic" w:cs="Calibri"/>
                <w:b/>
                <w:bCs/>
                <w:color w:val="000000"/>
                <w:sz w:val="12"/>
                <w:szCs w:val="18"/>
                <w:lang w:eastAsia="es-MX"/>
              </w:rPr>
            </w:pPr>
          </w:p>
        </w:tc>
      </w:tr>
      <w:tr w:rsidR="00C95B5B" w:rsidRPr="0050035B" w:rsidTr="00E44364">
        <w:trPr>
          <w:trHeight w:val="294"/>
        </w:trPr>
        <w:tc>
          <w:tcPr>
            <w:tcW w:w="1096" w:type="pct"/>
            <w:shd w:val="clear" w:color="auto" w:fill="D9D9D9" w:themeFill="background1" w:themeFillShade="D9"/>
            <w:hideMark/>
          </w:tcPr>
          <w:p w:rsidR="00C95B5B" w:rsidRPr="0050035B" w:rsidRDefault="00C95B5B" w:rsidP="00C95B5B">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1.   Ingresos de Libre Disposición (1=A+B+C+D+E+F+G+H+I+J+K+L)</w:t>
            </w:r>
          </w:p>
        </w:tc>
        <w:tc>
          <w:tcPr>
            <w:tcW w:w="651" w:type="pct"/>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3,965,874,996.38</w:t>
            </w:r>
          </w:p>
        </w:tc>
        <w:tc>
          <w:tcPr>
            <w:tcW w:w="651" w:type="pct"/>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4,740,962,988.78</w:t>
            </w:r>
          </w:p>
        </w:tc>
        <w:tc>
          <w:tcPr>
            <w:tcW w:w="650" w:type="pct"/>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5,121,744,970.92</w:t>
            </w:r>
          </w:p>
        </w:tc>
        <w:tc>
          <w:tcPr>
            <w:tcW w:w="650" w:type="pct"/>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5,587,901,797.80</w:t>
            </w:r>
          </w:p>
        </w:tc>
        <w:tc>
          <w:tcPr>
            <w:tcW w:w="651" w:type="pct"/>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5,188,641,630.38</w:t>
            </w:r>
          </w:p>
        </w:tc>
        <w:tc>
          <w:tcPr>
            <w:tcW w:w="649" w:type="pct"/>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5,410,271,132.14</w:t>
            </w:r>
          </w:p>
        </w:tc>
      </w:tr>
      <w:tr w:rsidR="00C95B5B" w:rsidRPr="0050035B" w:rsidTr="00E44364">
        <w:trPr>
          <w:trHeight w:val="294"/>
        </w:trPr>
        <w:tc>
          <w:tcPr>
            <w:tcW w:w="1096" w:type="pct"/>
            <w:shd w:val="clear" w:color="auto" w:fill="D9D9D9" w:themeFill="background1" w:themeFillShade="D9"/>
            <w:hideMark/>
          </w:tcPr>
          <w:p w:rsidR="00C95B5B" w:rsidRPr="0050035B" w:rsidRDefault="00C95B5B" w:rsidP="00C95B5B">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A.    Impuestos</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1,418,379,828.80</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1,884,227,130.75</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2,046,074,616.87</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2,063,332,164.82</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1,837,793,164.49</w:t>
            </w:r>
          </w:p>
        </w:tc>
        <w:tc>
          <w:tcPr>
            <w:tcW w:w="649"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1,989,132,673.04</w:t>
            </w:r>
          </w:p>
        </w:tc>
      </w:tr>
      <w:tr w:rsidR="00C95B5B" w:rsidRPr="0050035B" w:rsidTr="00E44364">
        <w:trPr>
          <w:trHeight w:val="270"/>
        </w:trPr>
        <w:tc>
          <w:tcPr>
            <w:tcW w:w="1096" w:type="pct"/>
            <w:shd w:val="clear" w:color="auto" w:fill="D9D9D9" w:themeFill="background1" w:themeFillShade="D9"/>
            <w:hideMark/>
          </w:tcPr>
          <w:p w:rsidR="00C95B5B" w:rsidRPr="0050035B" w:rsidRDefault="00C95B5B" w:rsidP="00C95B5B">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B.    Cuotas y Aportaciones de Seguridad Social</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49"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r>
      <w:tr w:rsidR="00C95B5B" w:rsidRPr="0050035B" w:rsidTr="00E44364">
        <w:trPr>
          <w:trHeight w:val="245"/>
        </w:trPr>
        <w:tc>
          <w:tcPr>
            <w:tcW w:w="1096" w:type="pct"/>
            <w:shd w:val="clear" w:color="auto" w:fill="D9D9D9" w:themeFill="background1" w:themeFillShade="D9"/>
            <w:hideMark/>
          </w:tcPr>
          <w:p w:rsidR="00C95B5B" w:rsidRPr="0050035B" w:rsidRDefault="00C95B5B" w:rsidP="00C95B5B">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C.    Contribuciones de Mejoras</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3,002,806.13</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49"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r>
      <w:tr w:rsidR="00C95B5B" w:rsidRPr="0050035B" w:rsidTr="00E44364">
        <w:trPr>
          <w:trHeight w:val="279"/>
        </w:trPr>
        <w:tc>
          <w:tcPr>
            <w:tcW w:w="1096" w:type="pct"/>
            <w:shd w:val="clear" w:color="auto" w:fill="D9D9D9" w:themeFill="background1" w:themeFillShade="D9"/>
            <w:hideMark/>
          </w:tcPr>
          <w:p w:rsidR="00C95B5B" w:rsidRPr="0050035B" w:rsidRDefault="00C95B5B" w:rsidP="00C95B5B">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D.    Derechos</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212,849,434.30</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265,675,357.12</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313,447,585.98</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346,551,598.90</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242,362,003.20</w:t>
            </w:r>
          </w:p>
        </w:tc>
        <w:tc>
          <w:tcPr>
            <w:tcW w:w="649"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256,653,934.49</w:t>
            </w:r>
          </w:p>
        </w:tc>
      </w:tr>
      <w:tr w:rsidR="00C95B5B" w:rsidRPr="0050035B" w:rsidTr="00E44364">
        <w:trPr>
          <w:trHeight w:val="279"/>
        </w:trPr>
        <w:tc>
          <w:tcPr>
            <w:tcW w:w="1096" w:type="pct"/>
            <w:shd w:val="clear" w:color="auto" w:fill="D9D9D9" w:themeFill="background1" w:themeFillShade="D9"/>
            <w:hideMark/>
          </w:tcPr>
          <w:p w:rsidR="00C95B5B" w:rsidRPr="0050035B" w:rsidRDefault="00C95B5B" w:rsidP="00C95B5B">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E.    Productos</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145,262,459.98</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178,342,274.28</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177,351,948.86</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222,352,041.48</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184,724,685.74</w:t>
            </w:r>
          </w:p>
        </w:tc>
        <w:tc>
          <w:tcPr>
            <w:tcW w:w="649"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284,250,811.91</w:t>
            </w:r>
          </w:p>
        </w:tc>
      </w:tr>
      <w:tr w:rsidR="00C95B5B" w:rsidRPr="0050035B" w:rsidTr="00E44364">
        <w:trPr>
          <w:trHeight w:val="279"/>
        </w:trPr>
        <w:tc>
          <w:tcPr>
            <w:tcW w:w="1096" w:type="pct"/>
            <w:shd w:val="clear" w:color="auto" w:fill="D9D9D9" w:themeFill="background1" w:themeFillShade="D9"/>
            <w:hideMark/>
          </w:tcPr>
          <w:p w:rsidR="00C95B5B" w:rsidRPr="0050035B" w:rsidRDefault="00C95B5B" w:rsidP="00C95B5B">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F.     Aprovechamientos</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221,299,433.89</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292,143,987.03</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339,787,185.76</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313,024,909.43</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286,800,765.10</w:t>
            </w:r>
          </w:p>
        </w:tc>
        <w:tc>
          <w:tcPr>
            <w:tcW w:w="649"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236,626,282.74</w:t>
            </w:r>
          </w:p>
        </w:tc>
      </w:tr>
      <w:tr w:rsidR="00C95B5B" w:rsidRPr="0050035B" w:rsidTr="00E44364">
        <w:trPr>
          <w:trHeight w:val="279"/>
        </w:trPr>
        <w:tc>
          <w:tcPr>
            <w:tcW w:w="1096" w:type="pct"/>
            <w:shd w:val="clear" w:color="auto" w:fill="D9D9D9" w:themeFill="background1" w:themeFillShade="D9"/>
            <w:hideMark/>
          </w:tcPr>
          <w:p w:rsidR="00C95B5B" w:rsidRPr="0050035B" w:rsidRDefault="00C95B5B" w:rsidP="00C95B5B">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G.    Ingresos por Ventas de Bienes y Servicios</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49"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r>
      <w:tr w:rsidR="00C95B5B" w:rsidRPr="0050035B" w:rsidTr="00E44364">
        <w:trPr>
          <w:trHeight w:val="279"/>
        </w:trPr>
        <w:tc>
          <w:tcPr>
            <w:tcW w:w="1096" w:type="pct"/>
            <w:shd w:val="clear" w:color="auto" w:fill="D9D9D9" w:themeFill="background1" w:themeFillShade="D9"/>
            <w:hideMark/>
          </w:tcPr>
          <w:p w:rsidR="00C95B5B" w:rsidRPr="0050035B" w:rsidRDefault="00C95B5B" w:rsidP="00C95B5B">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H.    Participaciones</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1,965,081,033.28</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2,120,574,239.60</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2,144,831,989.22</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2,256,529,196.60</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2,307,093,807.51</w:t>
            </w:r>
          </w:p>
        </w:tc>
        <w:tc>
          <w:tcPr>
            <w:tcW w:w="649"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2,316,401,343.19</w:t>
            </w:r>
          </w:p>
        </w:tc>
      </w:tr>
      <w:tr w:rsidR="00C95B5B" w:rsidRPr="0050035B" w:rsidTr="00E44364">
        <w:trPr>
          <w:trHeight w:val="294"/>
        </w:trPr>
        <w:tc>
          <w:tcPr>
            <w:tcW w:w="1096" w:type="pct"/>
            <w:shd w:val="clear" w:color="auto" w:fill="D9D9D9" w:themeFill="background1" w:themeFillShade="D9"/>
            <w:hideMark/>
          </w:tcPr>
          <w:p w:rsidR="00C95B5B" w:rsidRPr="0050035B" w:rsidRDefault="00C95B5B" w:rsidP="00C95B5B">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I.      Incentivos Derivados de la Colaboración Fiscal</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100,251,644.23</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57,604,446.71</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46,890,046.13</w:t>
            </w:r>
          </w:p>
        </w:tc>
        <w:tc>
          <w:tcPr>
            <w:tcW w:w="649"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55,680,812.01</w:t>
            </w:r>
          </w:p>
        </w:tc>
      </w:tr>
      <w:tr w:rsidR="00C95B5B" w:rsidRPr="0050035B" w:rsidTr="00E44364">
        <w:trPr>
          <w:trHeight w:val="294"/>
        </w:trPr>
        <w:tc>
          <w:tcPr>
            <w:tcW w:w="1096" w:type="pct"/>
            <w:shd w:val="clear" w:color="auto" w:fill="D9D9D9" w:themeFill="background1" w:themeFillShade="D9"/>
            <w:hideMark/>
          </w:tcPr>
          <w:p w:rsidR="00C95B5B" w:rsidRPr="0050035B" w:rsidRDefault="00C95B5B" w:rsidP="00C95B5B">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J.     Transferencias</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49"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r>
      <w:tr w:rsidR="00C95B5B" w:rsidRPr="0050035B" w:rsidTr="00E44364">
        <w:trPr>
          <w:trHeight w:val="168"/>
        </w:trPr>
        <w:tc>
          <w:tcPr>
            <w:tcW w:w="1096" w:type="pct"/>
            <w:shd w:val="clear" w:color="auto" w:fill="D9D9D9" w:themeFill="background1" w:themeFillShade="D9"/>
            <w:hideMark/>
          </w:tcPr>
          <w:p w:rsidR="00C95B5B" w:rsidRPr="0050035B" w:rsidRDefault="00C95B5B" w:rsidP="00C95B5B">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K.    Convenios</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49"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5,000,000.00</w:t>
            </w:r>
          </w:p>
        </w:tc>
      </w:tr>
      <w:tr w:rsidR="00C95B5B" w:rsidRPr="0050035B" w:rsidTr="00E44364">
        <w:trPr>
          <w:trHeight w:val="294"/>
        </w:trPr>
        <w:tc>
          <w:tcPr>
            <w:tcW w:w="1096" w:type="pct"/>
            <w:shd w:val="clear" w:color="auto" w:fill="D9D9D9" w:themeFill="background1" w:themeFillShade="D9"/>
            <w:hideMark/>
          </w:tcPr>
          <w:p w:rsidR="00C95B5B" w:rsidRPr="0050035B" w:rsidRDefault="00C95B5B" w:rsidP="00C95B5B">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L.     Otros Ingresos de Libre Disposición</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328,507,439.86</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282,977,158.21</w:t>
            </w:r>
          </w:p>
        </w:tc>
        <w:tc>
          <w:tcPr>
            <w:tcW w:w="649"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266,525,274.76</w:t>
            </w:r>
          </w:p>
        </w:tc>
      </w:tr>
      <w:tr w:rsidR="00CB1491" w:rsidRPr="0050035B" w:rsidTr="00E44364">
        <w:trPr>
          <w:trHeight w:val="106"/>
        </w:trPr>
        <w:tc>
          <w:tcPr>
            <w:tcW w:w="1096" w:type="pct"/>
            <w:shd w:val="clear" w:color="auto" w:fill="D9D9D9" w:themeFill="background1" w:themeFillShade="D9"/>
            <w:hideMark/>
          </w:tcPr>
          <w:p w:rsidR="00CB1491" w:rsidRPr="0050035B" w:rsidRDefault="00CB1491" w:rsidP="00CB1491">
            <w:pPr>
              <w:jc w:val="both"/>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1"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1"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0"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0"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1"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49"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r>
      <w:tr w:rsidR="00C95B5B" w:rsidRPr="0050035B" w:rsidTr="00E44364">
        <w:trPr>
          <w:trHeight w:val="294"/>
        </w:trPr>
        <w:tc>
          <w:tcPr>
            <w:tcW w:w="1096" w:type="pct"/>
            <w:shd w:val="clear" w:color="auto" w:fill="D9D9D9" w:themeFill="background1" w:themeFillShade="D9"/>
            <w:hideMark/>
          </w:tcPr>
          <w:p w:rsidR="00C95B5B" w:rsidRPr="0050035B" w:rsidRDefault="00C95B5B" w:rsidP="00C95B5B">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2.   Transferencias Federales Etiquetadas (2=A+B+C+D+E)</w:t>
            </w:r>
          </w:p>
        </w:tc>
        <w:tc>
          <w:tcPr>
            <w:tcW w:w="651" w:type="pct"/>
            <w:vAlign w:val="center"/>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1,084,287,904.24</w:t>
            </w:r>
          </w:p>
        </w:tc>
        <w:tc>
          <w:tcPr>
            <w:tcW w:w="651" w:type="pct"/>
            <w:vAlign w:val="center"/>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1,254,966,335.31</w:t>
            </w:r>
          </w:p>
        </w:tc>
        <w:tc>
          <w:tcPr>
            <w:tcW w:w="650" w:type="pct"/>
            <w:vAlign w:val="center"/>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1,221,302,806.35</w:t>
            </w:r>
          </w:p>
        </w:tc>
        <w:tc>
          <w:tcPr>
            <w:tcW w:w="650" w:type="pct"/>
            <w:vAlign w:val="center"/>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1,259,419,385.85</w:t>
            </w:r>
          </w:p>
        </w:tc>
        <w:tc>
          <w:tcPr>
            <w:tcW w:w="651" w:type="pct"/>
            <w:vAlign w:val="center"/>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1,370,746,964.26</w:t>
            </w:r>
          </w:p>
        </w:tc>
        <w:tc>
          <w:tcPr>
            <w:tcW w:w="649" w:type="pct"/>
            <w:vAlign w:val="center"/>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994,135,342.05</w:t>
            </w:r>
          </w:p>
        </w:tc>
      </w:tr>
      <w:tr w:rsidR="00C95B5B" w:rsidRPr="0050035B" w:rsidTr="00E44364">
        <w:trPr>
          <w:trHeight w:val="294"/>
        </w:trPr>
        <w:tc>
          <w:tcPr>
            <w:tcW w:w="1096" w:type="pct"/>
            <w:shd w:val="clear" w:color="auto" w:fill="D9D9D9" w:themeFill="background1" w:themeFillShade="D9"/>
            <w:hideMark/>
          </w:tcPr>
          <w:p w:rsidR="00C95B5B" w:rsidRPr="0050035B" w:rsidRDefault="00C95B5B" w:rsidP="00C95B5B">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A.    Aportaciones</w:t>
            </w:r>
          </w:p>
        </w:tc>
        <w:tc>
          <w:tcPr>
            <w:tcW w:w="651"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746,747,800.94</w:t>
            </w:r>
          </w:p>
        </w:tc>
        <w:tc>
          <w:tcPr>
            <w:tcW w:w="651"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745,818,368.01</w:t>
            </w:r>
          </w:p>
        </w:tc>
        <w:tc>
          <w:tcPr>
            <w:tcW w:w="650"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787,054,065.42</w:t>
            </w:r>
          </w:p>
        </w:tc>
        <w:tc>
          <w:tcPr>
            <w:tcW w:w="650"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892,211,186.65</w:t>
            </w:r>
          </w:p>
        </w:tc>
        <w:tc>
          <w:tcPr>
            <w:tcW w:w="651"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913,136,196.86</w:t>
            </w:r>
          </w:p>
        </w:tc>
        <w:tc>
          <w:tcPr>
            <w:tcW w:w="649"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834,400,768.32</w:t>
            </w:r>
          </w:p>
        </w:tc>
      </w:tr>
      <w:tr w:rsidR="00C95B5B" w:rsidRPr="0050035B" w:rsidTr="00E44364">
        <w:trPr>
          <w:trHeight w:val="294"/>
        </w:trPr>
        <w:tc>
          <w:tcPr>
            <w:tcW w:w="1096" w:type="pct"/>
            <w:shd w:val="clear" w:color="auto" w:fill="D9D9D9" w:themeFill="background1" w:themeFillShade="D9"/>
            <w:hideMark/>
          </w:tcPr>
          <w:p w:rsidR="00C95B5B" w:rsidRPr="0050035B" w:rsidRDefault="00C95B5B" w:rsidP="00C95B5B">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B.    Convenios</w:t>
            </w:r>
          </w:p>
        </w:tc>
        <w:tc>
          <w:tcPr>
            <w:tcW w:w="651"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1"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0"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0"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1"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49"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r>
      <w:tr w:rsidR="00C95B5B" w:rsidRPr="0050035B" w:rsidTr="00E44364">
        <w:trPr>
          <w:trHeight w:val="294"/>
        </w:trPr>
        <w:tc>
          <w:tcPr>
            <w:tcW w:w="1096" w:type="pct"/>
            <w:shd w:val="clear" w:color="auto" w:fill="D9D9D9" w:themeFill="background1" w:themeFillShade="D9"/>
            <w:hideMark/>
          </w:tcPr>
          <w:p w:rsidR="00C95B5B" w:rsidRPr="0050035B" w:rsidRDefault="00C95B5B" w:rsidP="00C95B5B">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C.    Fondos Distintos de Aportaciones</w:t>
            </w:r>
          </w:p>
        </w:tc>
        <w:tc>
          <w:tcPr>
            <w:tcW w:w="651"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1"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0"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0"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1"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49"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r>
      <w:tr w:rsidR="00C95B5B" w:rsidRPr="0050035B" w:rsidTr="00E44364">
        <w:trPr>
          <w:trHeight w:val="294"/>
        </w:trPr>
        <w:tc>
          <w:tcPr>
            <w:tcW w:w="1096" w:type="pct"/>
            <w:shd w:val="clear" w:color="auto" w:fill="D9D9D9" w:themeFill="background1" w:themeFillShade="D9"/>
            <w:hideMark/>
          </w:tcPr>
          <w:p w:rsidR="00C95B5B" w:rsidRPr="0050035B" w:rsidRDefault="00C95B5B" w:rsidP="00C95B5B">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D.    Transferencias, Subsidios y Subvenciones, y Pensiones y Jubilaciones</w:t>
            </w:r>
          </w:p>
        </w:tc>
        <w:tc>
          <w:tcPr>
            <w:tcW w:w="651"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337,540,103.30</w:t>
            </w:r>
          </w:p>
        </w:tc>
        <w:tc>
          <w:tcPr>
            <w:tcW w:w="651"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509,147,967.30</w:t>
            </w:r>
          </w:p>
        </w:tc>
        <w:tc>
          <w:tcPr>
            <w:tcW w:w="650"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434,248,740.93</w:t>
            </w:r>
          </w:p>
        </w:tc>
        <w:tc>
          <w:tcPr>
            <w:tcW w:w="650"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367,208,199.20</w:t>
            </w:r>
          </w:p>
        </w:tc>
        <w:tc>
          <w:tcPr>
            <w:tcW w:w="651"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457,610,767.40</w:t>
            </w:r>
          </w:p>
        </w:tc>
        <w:tc>
          <w:tcPr>
            <w:tcW w:w="649"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159,734,573.73</w:t>
            </w:r>
          </w:p>
        </w:tc>
      </w:tr>
      <w:tr w:rsidR="00C95B5B" w:rsidRPr="0050035B" w:rsidTr="00E44364">
        <w:trPr>
          <w:trHeight w:val="294"/>
        </w:trPr>
        <w:tc>
          <w:tcPr>
            <w:tcW w:w="1096" w:type="pct"/>
            <w:shd w:val="clear" w:color="auto" w:fill="D9D9D9" w:themeFill="background1" w:themeFillShade="D9"/>
            <w:hideMark/>
          </w:tcPr>
          <w:p w:rsidR="00C95B5B" w:rsidRPr="0050035B" w:rsidRDefault="00C95B5B" w:rsidP="00C95B5B">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E.    Otras Transferencias Federales Etiquetadas</w:t>
            </w:r>
          </w:p>
        </w:tc>
        <w:tc>
          <w:tcPr>
            <w:tcW w:w="651"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1"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0"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0"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c>
          <w:tcPr>
            <w:tcW w:w="651"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 </w:t>
            </w:r>
          </w:p>
        </w:tc>
        <w:tc>
          <w:tcPr>
            <w:tcW w:w="649" w:type="pct"/>
            <w:vAlign w:val="center"/>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C95B5B">
              <w:rPr>
                <w:rFonts w:ascii="Century Gothic" w:eastAsia="Times New Roman" w:hAnsi="Century Gothic" w:cs="Calibri"/>
                <w:color w:val="000000"/>
                <w:sz w:val="12"/>
                <w:szCs w:val="18"/>
                <w:lang w:eastAsia="es-MX"/>
              </w:rPr>
              <w:t>0.00</w:t>
            </w:r>
          </w:p>
        </w:tc>
      </w:tr>
      <w:tr w:rsidR="00CB1491" w:rsidRPr="0050035B" w:rsidTr="00E44364">
        <w:trPr>
          <w:trHeight w:val="79"/>
        </w:trPr>
        <w:tc>
          <w:tcPr>
            <w:tcW w:w="1096" w:type="pct"/>
            <w:shd w:val="clear" w:color="auto" w:fill="D9D9D9" w:themeFill="background1" w:themeFillShade="D9"/>
            <w:hideMark/>
          </w:tcPr>
          <w:p w:rsidR="00CB1491" w:rsidRPr="0050035B" w:rsidRDefault="00CB1491" w:rsidP="00CB1491">
            <w:pPr>
              <w:jc w:val="both"/>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1"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1"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0"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0"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1"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49"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r>
      <w:tr w:rsidR="00C95B5B" w:rsidRPr="0050035B" w:rsidTr="00E44364">
        <w:trPr>
          <w:trHeight w:val="294"/>
        </w:trPr>
        <w:tc>
          <w:tcPr>
            <w:tcW w:w="1096" w:type="pct"/>
            <w:shd w:val="clear" w:color="auto" w:fill="D9D9D9" w:themeFill="background1" w:themeFillShade="D9"/>
            <w:hideMark/>
          </w:tcPr>
          <w:p w:rsidR="00C95B5B" w:rsidRPr="0050035B" w:rsidRDefault="00C95B5B" w:rsidP="00C95B5B">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3.   Ingresos Derivados de Financiamientos (3=A)</w:t>
            </w:r>
          </w:p>
        </w:tc>
        <w:tc>
          <w:tcPr>
            <w:tcW w:w="651" w:type="pct"/>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50035B">
              <w:rPr>
                <w:rFonts w:ascii="Century Gothic" w:eastAsia="Times New Roman" w:hAnsi="Century Gothic" w:cs="Calibri"/>
                <w:b/>
                <w:bCs/>
                <w:color w:val="000000"/>
                <w:sz w:val="12"/>
                <w:szCs w:val="18"/>
                <w:lang w:eastAsia="es-MX"/>
              </w:rPr>
              <w:t>0.00</w:t>
            </w:r>
          </w:p>
        </w:tc>
        <w:tc>
          <w:tcPr>
            <w:tcW w:w="651" w:type="pct"/>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50035B">
              <w:rPr>
                <w:rFonts w:ascii="Century Gothic" w:eastAsia="Times New Roman" w:hAnsi="Century Gothic" w:cs="Calibri"/>
                <w:b/>
                <w:bCs/>
                <w:color w:val="000000"/>
                <w:sz w:val="12"/>
                <w:szCs w:val="18"/>
                <w:lang w:eastAsia="es-MX"/>
              </w:rPr>
              <w:t>0.00</w:t>
            </w:r>
          </w:p>
        </w:tc>
        <w:tc>
          <w:tcPr>
            <w:tcW w:w="650" w:type="pct"/>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50035B">
              <w:rPr>
                <w:rFonts w:ascii="Century Gothic" w:eastAsia="Times New Roman" w:hAnsi="Century Gothic" w:cs="Calibri"/>
                <w:b/>
                <w:bCs/>
                <w:color w:val="000000"/>
                <w:sz w:val="12"/>
                <w:szCs w:val="18"/>
                <w:lang w:eastAsia="es-MX"/>
              </w:rPr>
              <w:t>35,600,000.00</w:t>
            </w:r>
          </w:p>
        </w:tc>
        <w:tc>
          <w:tcPr>
            <w:tcW w:w="650" w:type="pct"/>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50035B">
              <w:rPr>
                <w:rFonts w:ascii="Century Gothic" w:eastAsia="Times New Roman" w:hAnsi="Century Gothic" w:cs="Calibri"/>
                <w:b/>
                <w:bCs/>
                <w:color w:val="000000"/>
                <w:sz w:val="12"/>
                <w:szCs w:val="18"/>
                <w:lang w:eastAsia="es-MX"/>
              </w:rPr>
              <w:t>0.00</w:t>
            </w:r>
          </w:p>
        </w:tc>
        <w:tc>
          <w:tcPr>
            <w:tcW w:w="651" w:type="pct"/>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50035B">
              <w:rPr>
                <w:rFonts w:ascii="Century Gothic" w:eastAsia="Times New Roman" w:hAnsi="Century Gothic" w:cs="Calibri"/>
                <w:b/>
                <w:bCs/>
                <w:color w:val="000000"/>
                <w:sz w:val="12"/>
                <w:szCs w:val="18"/>
                <w:lang w:eastAsia="es-MX"/>
              </w:rPr>
              <w:t>0.00</w:t>
            </w:r>
          </w:p>
        </w:tc>
        <w:tc>
          <w:tcPr>
            <w:tcW w:w="649" w:type="pct"/>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50035B">
              <w:rPr>
                <w:rFonts w:ascii="Century Gothic" w:eastAsia="Times New Roman" w:hAnsi="Century Gothic" w:cs="Calibri"/>
                <w:b/>
                <w:bCs/>
                <w:color w:val="000000"/>
                <w:sz w:val="12"/>
                <w:szCs w:val="18"/>
                <w:lang w:eastAsia="es-MX"/>
              </w:rPr>
              <w:t>0.00</w:t>
            </w:r>
          </w:p>
        </w:tc>
      </w:tr>
      <w:tr w:rsidR="00C95B5B" w:rsidRPr="0050035B" w:rsidTr="00E44364">
        <w:trPr>
          <w:trHeight w:val="294"/>
        </w:trPr>
        <w:tc>
          <w:tcPr>
            <w:tcW w:w="1096" w:type="pct"/>
            <w:shd w:val="clear" w:color="auto" w:fill="D9D9D9" w:themeFill="background1" w:themeFillShade="D9"/>
            <w:hideMark/>
          </w:tcPr>
          <w:p w:rsidR="00C95B5B" w:rsidRPr="0050035B" w:rsidRDefault="00C95B5B" w:rsidP="00C95B5B">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A.    Ingresos Derivados de Financiamientos</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0.00</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0.00</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35,600,000.00</w:t>
            </w:r>
          </w:p>
        </w:tc>
        <w:tc>
          <w:tcPr>
            <w:tcW w:w="650"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0.00</w:t>
            </w:r>
          </w:p>
        </w:tc>
        <w:tc>
          <w:tcPr>
            <w:tcW w:w="651"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0.00</w:t>
            </w:r>
          </w:p>
        </w:tc>
        <w:tc>
          <w:tcPr>
            <w:tcW w:w="649" w:type="pct"/>
            <w:hideMark/>
          </w:tcPr>
          <w:p w:rsidR="00C95B5B" w:rsidRPr="0050035B" w:rsidRDefault="00C95B5B" w:rsidP="00C95B5B">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0.00</w:t>
            </w:r>
          </w:p>
        </w:tc>
      </w:tr>
      <w:tr w:rsidR="00CB1491" w:rsidRPr="0050035B" w:rsidTr="00E44364">
        <w:trPr>
          <w:trHeight w:val="42"/>
        </w:trPr>
        <w:tc>
          <w:tcPr>
            <w:tcW w:w="1096" w:type="pct"/>
            <w:shd w:val="clear" w:color="auto" w:fill="D9D9D9" w:themeFill="background1" w:themeFillShade="D9"/>
            <w:hideMark/>
          </w:tcPr>
          <w:p w:rsidR="00CB1491" w:rsidRPr="0050035B" w:rsidRDefault="00CB1491" w:rsidP="00CB1491">
            <w:pPr>
              <w:jc w:val="both"/>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1"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1"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0"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0"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1"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49"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r>
      <w:tr w:rsidR="00C95B5B" w:rsidRPr="0050035B" w:rsidTr="00E44364">
        <w:trPr>
          <w:trHeight w:val="294"/>
        </w:trPr>
        <w:tc>
          <w:tcPr>
            <w:tcW w:w="1096" w:type="pct"/>
            <w:shd w:val="clear" w:color="auto" w:fill="D9D9D9" w:themeFill="background1" w:themeFillShade="D9"/>
            <w:hideMark/>
          </w:tcPr>
          <w:p w:rsidR="00C95B5B" w:rsidRPr="0050035B" w:rsidRDefault="00C95B5B" w:rsidP="00C95B5B">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4.   Total de Resultados de Ingresos (4=1+2+3)</w:t>
            </w:r>
          </w:p>
        </w:tc>
        <w:tc>
          <w:tcPr>
            <w:tcW w:w="651" w:type="pct"/>
            <w:vAlign w:val="center"/>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5,050,162,900.62</w:t>
            </w:r>
          </w:p>
        </w:tc>
        <w:tc>
          <w:tcPr>
            <w:tcW w:w="651" w:type="pct"/>
            <w:vAlign w:val="center"/>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5,995,929,324.09</w:t>
            </w:r>
          </w:p>
        </w:tc>
        <w:tc>
          <w:tcPr>
            <w:tcW w:w="650" w:type="pct"/>
            <w:vAlign w:val="center"/>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6,378,647,777.27</w:t>
            </w:r>
          </w:p>
        </w:tc>
        <w:tc>
          <w:tcPr>
            <w:tcW w:w="650" w:type="pct"/>
            <w:vAlign w:val="center"/>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6,847,321,183.65</w:t>
            </w:r>
          </w:p>
        </w:tc>
        <w:tc>
          <w:tcPr>
            <w:tcW w:w="651" w:type="pct"/>
            <w:vAlign w:val="center"/>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6,559,388,594.64</w:t>
            </w:r>
          </w:p>
        </w:tc>
        <w:tc>
          <w:tcPr>
            <w:tcW w:w="649" w:type="pct"/>
            <w:vAlign w:val="center"/>
            <w:hideMark/>
          </w:tcPr>
          <w:p w:rsidR="00C95B5B" w:rsidRPr="0050035B" w:rsidRDefault="00C95B5B" w:rsidP="00C95B5B">
            <w:pPr>
              <w:jc w:val="center"/>
              <w:rPr>
                <w:rFonts w:ascii="Century Gothic" w:eastAsia="Times New Roman" w:hAnsi="Century Gothic" w:cs="Calibri"/>
                <w:b/>
                <w:bCs/>
                <w:color w:val="000000"/>
                <w:sz w:val="12"/>
                <w:szCs w:val="18"/>
                <w:lang w:eastAsia="es-MX"/>
              </w:rPr>
            </w:pPr>
            <w:r w:rsidRPr="00C95B5B">
              <w:rPr>
                <w:rFonts w:ascii="Century Gothic" w:eastAsia="Times New Roman" w:hAnsi="Century Gothic" w:cs="Calibri"/>
                <w:b/>
                <w:bCs/>
                <w:color w:val="000000"/>
                <w:sz w:val="12"/>
                <w:szCs w:val="18"/>
                <w:lang w:eastAsia="es-MX"/>
              </w:rPr>
              <w:t>6,404,406,474.19</w:t>
            </w:r>
          </w:p>
        </w:tc>
      </w:tr>
      <w:tr w:rsidR="00CB1491" w:rsidRPr="0050035B" w:rsidTr="00E44364">
        <w:trPr>
          <w:trHeight w:val="110"/>
        </w:trPr>
        <w:tc>
          <w:tcPr>
            <w:tcW w:w="1096" w:type="pct"/>
            <w:shd w:val="clear" w:color="auto" w:fill="D9D9D9" w:themeFill="background1" w:themeFillShade="D9"/>
            <w:hideMark/>
          </w:tcPr>
          <w:p w:rsidR="00CB1491" w:rsidRPr="0050035B" w:rsidRDefault="00CB1491" w:rsidP="00CB1491">
            <w:pPr>
              <w:jc w:val="both"/>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1"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1"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0"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0"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1"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49"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r>
      <w:tr w:rsidR="00CB1491" w:rsidRPr="0050035B" w:rsidTr="00E44364">
        <w:trPr>
          <w:trHeight w:val="98"/>
        </w:trPr>
        <w:tc>
          <w:tcPr>
            <w:tcW w:w="1096" w:type="pct"/>
            <w:shd w:val="clear" w:color="auto" w:fill="D9D9D9" w:themeFill="background1" w:themeFillShade="D9"/>
            <w:hideMark/>
          </w:tcPr>
          <w:p w:rsidR="00CB1491" w:rsidRPr="0050035B" w:rsidRDefault="00CB1491" w:rsidP="00CB1491">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Datos Informativos</w:t>
            </w:r>
          </w:p>
        </w:tc>
        <w:tc>
          <w:tcPr>
            <w:tcW w:w="651"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1"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0"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0"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51"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c>
          <w:tcPr>
            <w:tcW w:w="649"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 </w:t>
            </w:r>
          </w:p>
        </w:tc>
      </w:tr>
      <w:tr w:rsidR="00CB1491" w:rsidRPr="0050035B" w:rsidTr="00E44364">
        <w:trPr>
          <w:trHeight w:val="353"/>
        </w:trPr>
        <w:tc>
          <w:tcPr>
            <w:tcW w:w="1096" w:type="pct"/>
            <w:shd w:val="clear" w:color="auto" w:fill="D9D9D9" w:themeFill="background1" w:themeFillShade="D9"/>
            <w:hideMark/>
          </w:tcPr>
          <w:p w:rsidR="00CB1491" w:rsidRPr="0050035B" w:rsidRDefault="00CB1491" w:rsidP="00CB1491">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1. Ingresos Derivados de Financiamientos con Fuente de Pago de Recursos de Libre Disposición</w:t>
            </w:r>
          </w:p>
        </w:tc>
        <w:tc>
          <w:tcPr>
            <w:tcW w:w="651"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0.00</w:t>
            </w:r>
          </w:p>
        </w:tc>
        <w:tc>
          <w:tcPr>
            <w:tcW w:w="651"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0.00</w:t>
            </w:r>
          </w:p>
        </w:tc>
        <w:tc>
          <w:tcPr>
            <w:tcW w:w="650"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0.00</w:t>
            </w:r>
          </w:p>
        </w:tc>
        <w:tc>
          <w:tcPr>
            <w:tcW w:w="650"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0.00</w:t>
            </w:r>
          </w:p>
        </w:tc>
        <w:tc>
          <w:tcPr>
            <w:tcW w:w="651"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0.00</w:t>
            </w:r>
          </w:p>
        </w:tc>
        <w:tc>
          <w:tcPr>
            <w:tcW w:w="649"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0.00</w:t>
            </w:r>
          </w:p>
        </w:tc>
      </w:tr>
      <w:tr w:rsidR="00CB1491" w:rsidRPr="0050035B" w:rsidTr="00E44364">
        <w:trPr>
          <w:trHeight w:val="456"/>
        </w:trPr>
        <w:tc>
          <w:tcPr>
            <w:tcW w:w="1096" w:type="pct"/>
            <w:shd w:val="clear" w:color="auto" w:fill="D9D9D9" w:themeFill="background1" w:themeFillShade="D9"/>
            <w:hideMark/>
          </w:tcPr>
          <w:p w:rsidR="00CB1491" w:rsidRPr="0050035B" w:rsidRDefault="00CB1491" w:rsidP="00CB1491">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2. Ingresos derivados de Financiamientos con Fuente de Pago de Transferencias Federales Etiquetadas</w:t>
            </w:r>
          </w:p>
        </w:tc>
        <w:tc>
          <w:tcPr>
            <w:tcW w:w="651"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0.00</w:t>
            </w:r>
          </w:p>
        </w:tc>
        <w:tc>
          <w:tcPr>
            <w:tcW w:w="651"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0.00</w:t>
            </w:r>
          </w:p>
        </w:tc>
        <w:tc>
          <w:tcPr>
            <w:tcW w:w="650"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0.00</w:t>
            </w:r>
          </w:p>
        </w:tc>
        <w:tc>
          <w:tcPr>
            <w:tcW w:w="650"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35,600,000.00</w:t>
            </w:r>
          </w:p>
        </w:tc>
        <w:tc>
          <w:tcPr>
            <w:tcW w:w="651"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0.00</w:t>
            </w:r>
          </w:p>
        </w:tc>
        <w:tc>
          <w:tcPr>
            <w:tcW w:w="649" w:type="pct"/>
            <w:hideMark/>
          </w:tcPr>
          <w:p w:rsidR="00CB1491" w:rsidRPr="0050035B" w:rsidRDefault="00CB1491" w:rsidP="00CB1491">
            <w:pPr>
              <w:jc w:val="cente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0.00</w:t>
            </w:r>
          </w:p>
        </w:tc>
      </w:tr>
      <w:tr w:rsidR="00CB1491" w:rsidRPr="0050035B" w:rsidTr="00E44364">
        <w:trPr>
          <w:trHeight w:val="294"/>
        </w:trPr>
        <w:tc>
          <w:tcPr>
            <w:tcW w:w="1096" w:type="pct"/>
            <w:shd w:val="clear" w:color="auto" w:fill="D9D9D9" w:themeFill="background1" w:themeFillShade="D9"/>
            <w:hideMark/>
          </w:tcPr>
          <w:p w:rsidR="00CB1491" w:rsidRPr="0050035B" w:rsidRDefault="00CB1491" w:rsidP="00CB1491">
            <w:pPr>
              <w:rPr>
                <w:rFonts w:ascii="Century Gothic" w:eastAsia="Times New Roman" w:hAnsi="Century Gothic" w:cs="Calibri"/>
                <w:color w:val="000000"/>
                <w:sz w:val="12"/>
                <w:szCs w:val="18"/>
                <w:lang w:eastAsia="es-MX"/>
              </w:rPr>
            </w:pPr>
            <w:r w:rsidRPr="0050035B">
              <w:rPr>
                <w:rFonts w:ascii="Century Gothic" w:eastAsia="Times New Roman" w:hAnsi="Century Gothic" w:cs="Calibri"/>
                <w:color w:val="000000"/>
                <w:sz w:val="12"/>
                <w:szCs w:val="18"/>
                <w:lang w:eastAsia="es-MX"/>
              </w:rPr>
              <w:t>3. Ingresos Derivados de Financiamiento (3 = 1 + 2)</w:t>
            </w:r>
          </w:p>
        </w:tc>
        <w:tc>
          <w:tcPr>
            <w:tcW w:w="651" w:type="pct"/>
            <w:hideMark/>
          </w:tcPr>
          <w:p w:rsidR="00CB1491" w:rsidRPr="0050035B" w:rsidRDefault="00CB1491" w:rsidP="00CB1491">
            <w:pPr>
              <w:jc w:val="center"/>
              <w:rPr>
                <w:rFonts w:ascii="Century Gothic" w:eastAsia="Times New Roman" w:hAnsi="Century Gothic" w:cs="Calibri"/>
                <w:b/>
                <w:bCs/>
                <w:color w:val="000000"/>
                <w:sz w:val="12"/>
                <w:szCs w:val="18"/>
                <w:lang w:eastAsia="es-MX"/>
              </w:rPr>
            </w:pPr>
            <w:r w:rsidRPr="0050035B">
              <w:rPr>
                <w:rFonts w:ascii="Century Gothic" w:eastAsia="Times New Roman" w:hAnsi="Century Gothic" w:cs="Calibri"/>
                <w:b/>
                <w:bCs/>
                <w:color w:val="000000"/>
                <w:sz w:val="12"/>
                <w:szCs w:val="18"/>
                <w:lang w:eastAsia="es-MX"/>
              </w:rPr>
              <w:t>0.00</w:t>
            </w:r>
          </w:p>
        </w:tc>
        <w:tc>
          <w:tcPr>
            <w:tcW w:w="651" w:type="pct"/>
            <w:hideMark/>
          </w:tcPr>
          <w:p w:rsidR="00CB1491" w:rsidRPr="0050035B" w:rsidRDefault="00CB1491" w:rsidP="00CB1491">
            <w:pPr>
              <w:jc w:val="center"/>
              <w:rPr>
                <w:rFonts w:ascii="Century Gothic" w:eastAsia="Times New Roman" w:hAnsi="Century Gothic" w:cs="Calibri"/>
                <w:b/>
                <w:bCs/>
                <w:color w:val="000000"/>
                <w:sz w:val="12"/>
                <w:szCs w:val="18"/>
                <w:lang w:eastAsia="es-MX"/>
              </w:rPr>
            </w:pPr>
            <w:r w:rsidRPr="0050035B">
              <w:rPr>
                <w:rFonts w:ascii="Century Gothic" w:eastAsia="Times New Roman" w:hAnsi="Century Gothic" w:cs="Calibri"/>
                <w:b/>
                <w:bCs/>
                <w:color w:val="000000"/>
                <w:sz w:val="12"/>
                <w:szCs w:val="18"/>
                <w:lang w:eastAsia="es-MX"/>
              </w:rPr>
              <w:t>0.00</w:t>
            </w:r>
          </w:p>
        </w:tc>
        <w:tc>
          <w:tcPr>
            <w:tcW w:w="650" w:type="pct"/>
            <w:hideMark/>
          </w:tcPr>
          <w:p w:rsidR="00CB1491" w:rsidRPr="0050035B" w:rsidRDefault="00CB1491" w:rsidP="00CB1491">
            <w:pPr>
              <w:jc w:val="center"/>
              <w:rPr>
                <w:rFonts w:ascii="Century Gothic" w:eastAsia="Times New Roman" w:hAnsi="Century Gothic" w:cs="Calibri"/>
                <w:b/>
                <w:bCs/>
                <w:color w:val="000000"/>
                <w:sz w:val="12"/>
                <w:szCs w:val="18"/>
                <w:lang w:eastAsia="es-MX"/>
              </w:rPr>
            </w:pPr>
            <w:r w:rsidRPr="0050035B">
              <w:rPr>
                <w:rFonts w:ascii="Century Gothic" w:eastAsia="Times New Roman" w:hAnsi="Century Gothic" w:cs="Calibri"/>
                <w:b/>
                <w:bCs/>
                <w:color w:val="000000"/>
                <w:sz w:val="12"/>
                <w:szCs w:val="18"/>
                <w:lang w:eastAsia="es-MX"/>
              </w:rPr>
              <w:t>0.00</w:t>
            </w:r>
          </w:p>
        </w:tc>
        <w:tc>
          <w:tcPr>
            <w:tcW w:w="650" w:type="pct"/>
            <w:hideMark/>
          </w:tcPr>
          <w:p w:rsidR="00CB1491" w:rsidRPr="0050035B" w:rsidRDefault="00CB1491" w:rsidP="00CB1491">
            <w:pPr>
              <w:jc w:val="center"/>
              <w:rPr>
                <w:rFonts w:ascii="Century Gothic" w:eastAsia="Times New Roman" w:hAnsi="Century Gothic" w:cs="Calibri"/>
                <w:b/>
                <w:bCs/>
                <w:color w:val="000000"/>
                <w:sz w:val="12"/>
                <w:szCs w:val="18"/>
                <w:lang w:eastAsia="es-MX"/>
              </w:rPr>
            </w:pPr>
            <w:r w:rsidRPr="0050035B">
              <w:rPr>
                <w:rFonts w:ascii="Century Gothic" w:eastAsia="Times New Roman" w:hAnsi="Century Gothic" w:cs="Calibri"/>
                <w:b/>
                <w:bCs/>
                <w:color w:val="000000"/>
                <w:sz w:val="12"/>
                <w:szCs w:val="18"/>
                <w:lang w:eastAsia="es-MX"/>
              </w:rPr>
              <w:t>35,600,000.00</w:t>
            </w:r>
          </w:p>
        </w:tc>
        <w:tc>
          <w:tcPr>
            <w:tcW w:w="651" w:type="pct"/>
            <w:hideMark/>
          </w:tcPr>
          <w:p w:rsidR="00CB1491" w:rsidRPr="0050035B" w:rsidRDefault="00CB1491" w:rsidP="00CB1491">
            <w:pPr>
              <w:jc w:val="center"/>
              <w:rPr>
                <w:rFonts w:ascii="Century Gothic" w:eastAsia="Times New Roman" w:hAnsi="Century Gothic" w:cs="Calibri"/>
                <w:b/>
                <w:bCs/>
                <w:color w:val="000000"/>
                <w:sz w:val="12"/>
                <w:szCs w:val="18"/>
                <w:lang w:eastAsia="es-MX"/>
              </w:rPr>
            </w:pPr>
            <w:r w:rsidRPr="0050035B">
              <w:rPr>
                <w:rFonts w:ascii="Century Gothic" w:eastAsia="Times New Roman" w:hAnsi="Century Gothic" w:cs="Calibri"/>
                <w:b/>
                <w:bCs/>
                <w:color w:val="000000"/>
                <w:sz w:val="12"/>
                <w:szCs w:val="18"/>
                <w:lang w:eastAsia="es-MX"/>
              </w:rPr>
              <w:t>0.00</w:t>
            </w:r>
          </w:p>
        </w:tc>
        <w:tc>
          <w:tcPr>
            <w:tcW w:w="649" w:type="pct"/>
            <w:hideMark/>
          </w:tcPr>
          <w:p w:rsidR="00CB1491" w:rsidRPr="0050035B" w:rsidRDefault="00CB1491" w:rsidP="00CB1491">
            <w:pPr>
              <w:jc w:val="center"/>
              <w:rPr>
                <w:rFonts w:ascii="Century Gothic" w:eastAsia="Times New Roman" w:hAnsi="Century Gothic" w:cs="Calibri"/>
                <w:b/>
                <w:bCs/>
                <w:color w:val="000000"/>
                <w:sz w:val="12"/>
                <w:szCs w:val="18"/>
                <w:lang w:eastAsia="es-MX"/>
              </w:rPr>
            </w:pPr>
            <w:r w:rsidRPr="0050035B">
              <w:rPr>
                <w:rFonts w:ascii="Century Gothic" w:eastAsia="Times New Roman" w:hAnsi="Century Gothic" w:cs="Calibri"/>
                <w:b/>
                <w:bCs/>
                <w:color w:val="000000"/>
                <w:sz w:val="12"/>
                <w:szCs w:val="18"/>
                <w:lang w:eastAsia="es-MX"/>
              </w:rPr>
              <w:t>0.00</w:t>
            </w:r>
          </w:p>
        </w:tc>
      </w:tr>
    </w:tbl>
    <w:p w:rsidR="00CB1491" w:rsidRPr="0050035B" w:rsidRDefault="00C82F72" w:rsidP="00C82F72">
      <w:pPr>
        <w:jc w:val="center"/>
        <w:rPr>
          <w:rFonts w:ascii="Century Gothic" w:hAnsi="Century Gothic"/>
          <w:b/>
          <w:sz w:val="22"/>
          <w:szCs w:val="22"/>
          <w:lang w:val="es-MX"/>
        </w:rPr>
      </w:pPr>
      <w:r w:rsidRPr="0050035B">
        <w:rPr>
          <w:rFonts w:ascii="Century Gothic" w:hAnsi="Century Gothic"/>
          <w:b/>
          <w:bCs/>
          <w:sz w:val="20"/>
          <w:lang w:val="es-MX"/>
        </w:rPr>
        <w:t>Fuente</w:t>
      </w:r>
      <w:r w:rsidRPr="0050035B">
        <w:rPr>
          <w:rFonts w:ascii="Century Gothic" w:hAnsi="Century Gothic"/>
          <w:sz w:val="20"/>
          <w:lang w:val="es-MX"/>
        </w:rPr>
        <w:t>: Elaboración propia, 202</w:t>
      </w:r>
      <w:r>
        <w:rPr>
          <w:rFonts w:ascii="Century Gothic" w:hAnsi="Century Gothic"/>
          <w:sz w:val="20"/>
          <w:lang w:val="es-MX"/>
        </w:rPr>
        <w:t>1</w:t>
      </w:r>
      <w:r w:rsidRPr="0050035B">
        <w:rPr>
          <w:rFonts w:ascii="Century Gothic" w:hAnsi="Century Gothic"/>
          <w:sz w:val="20"/>
          <w:lang w:val="es-MX"/>
        </w:rPr>
        <w:t>.</w:t>
      </w:r>
    </w:p>
    <w:p w:rsidR="008A36BD" w:rsidRPr="0050035B" w:rsidRDefault="00CA0FA3" w:rsidP="00C82F72">
      <w:pPr>
        <w:rPr>
          <w:rFonts w:ascii="Century Gothic" w:hAnsi="Century Gothic"/>
          <w:sz w:val="22"/>
          <w:szCs w:val="22"/>
          <w:lang w:val="es-MX"/>
        </w:rPr>
      </w:pPr>
      <w:r w:rsidRPr="0050035B">
        <w:rPr>
          <w:rFonts w:ascii="Century Gothic" w:hAnsi="Century Gothic"/>
          <w:b/>
          <w:sz w:val="22"/>
          <w:szCs w:val="22"/>
          <w:lang w:val="es-MX"/>
        </w:rPr>
        <w:lastRenderedPageBreak/>
        <w:t>Tabla 3.3</w:t>
      </w:r>
      <w:r w:rsidR="008A36BD" w:rsidRPr="0050035B">
        <w:rPr>
          <w:rFonts w:ascii="Century Gothic" w:hAnsi="Century Gothic"/>
          <w:b/>
          <w:sz w:val="22"/>
          <w:szCs w:val="22"/>
          <w:lang w:val="es-MX"/>
        </w:rPr>
        <w:t xml:space="preserve">. </w:t>
      </w:r>
      <w:r w:rsidR="008A36BD" w:rsidRPr="0050035B">
        <w:rPr>
          <w:rFonts w:ascii="Century Gothic" w:hAnsi="Century Gothic"/>
          <w:sz w:val="22"/>
          <w:szCs w:val="22"/>
          <w:lang w:val="es-MX"/>
        </w:rPr>
        <w:t>Proyecciones de los Ingresos para el Municipio de Monterrey 202</w:t>
      </w:r>
      <w:r w:rsidR="00BF5C57" w:rsidRPr="0050035B">
        <w:rPr>
          <w:rFonts w:ascii="Century Gothic" w:hAnsi="Century Gothic"/>
          <w:sz w:val="22"/>
          <w:szCs w:val="22"/>
          <w:lang w:val="es-MX"/>
        </w:rPr>
        <w:t>1</w:t>
      </w:r>
      <w:r w:rsidR="008A36BD" w:rsidRPr="0050035B">
        <w:rPr>
          <w:rFonts w:ascii="Century Gothic" w:hAnsi="Century Gothic"/>
          <w:sz w:val="22"/>
          <w:szCs w:val="22"/>
          <w:lang w:val="es-MX"/>
        </w:rPr>
        <w:t>-202</w:t>
      </w:r>
      <w:r w:rsidR="00BF5C57" w:rsidRPr="0050035B">
        <w:rPr>
          <w:rFonts w:ascii="Century Gothic" w:hAnsi="Century Gothic"/>
          <w:sz w:val="22"/>
          <w:szCs w:val="22"/>
          <w:lang w:val="es-MX"/>
        </w:rPr>
        <w:t>5</w:t>
      </w:r>
      <w:r w:rsidR="00F470D9">
        <w:rPr>
          <w:rStyle w:val="Refdenotaalpie"/>
          <w:rFonts w:ascii="Century Gothic" w:hAnsi="Century Gothic"/>
          <w:sz w:val="22"/>
          <w:szCs w:val="22"/>
          <w:lang w:val="es-MX"/>
        </w:rPr>
        <w:footnoteReference w:id="28"/>
      </w:r>
    </w:p>
    <w:p w:rsidR="008A36BD" w:rsidRPr="0050035B" w:rsidRDefault="008A36BD" w:rsidP="00A205DF">
      <w:pPr>
        <w:tabs>
          <w:tab w:val="left" w:pos="8789"/>
        </w:tabs>
        <w:ind w:right="26"/>
        <w:jc w:val="center"/>
        <w:rPr>
          <w:rFonts w:ascii="Century Gothic" w:hAnsi="Century Gothic"/>
          <w:b/>
          <w:sz w:val="22"/>
          <w:szCs w:val="22"/>
          <w:lang w:val="es-MX"/>
        </w:rPr>
      </w:pPr>
    </w:p>
    <w:tbl>
      <w:tblPr>
        <w:tblStyle w:val="Tablaconcuadrcula"/>
        <w:tblW w:w="6198" w:type="pct"/>
        <w:tblInd w:w="-1139" w:type="dxa"/>
        <w:tblLayout w:type="fixed"/>
        <w:tblLook w:val="04A0" w:firstRow="1" w:lastRow="0" w:firstColumn="1" w:lastColumn="0" w:noHBand="0" w:noVBand="1"/>
      </w:tblPr>
      <w:tblGrid>
        <w:gridCol w:w="3029"/>
        <w:gridCol w:w="1628"/>
        <w:gridCol w:w="1629"/>
        <w:gridCol w:w="1629"/>
        <w:gridCol w:w="1629"/>
        <w:gridCol w:w="1371"/>
      </w:tblGrid>
      <w:tr w:rsidR="00CA0FA3" w:rsidRPr="0050035B" w:rsidTr="00E44364">
        <w:trPr>
          <w:trHeight w:val="171"/>
        </w:trPr>
        <w:tc>
          <w:tcPr>
            <w:tcW w:w="5000" w:type="pct"/>
            <w:gridSpan w:val="6"/>
            <w:shd w:val="clear" w:color="auto" w:fill="FABF8F" w:themeFill="accent6" w:themeFillTint="99"/>
            <w:noWrap/>
            <w:hideMark/>
          </w:tcPr>
          <w:p w:rsidR="00CA0FA3" w:rsidRPr="0050035B" w:rsidRDefault="00CA0FA3" w:rsidP="00CA0FA3">
            <w:pPr>
              <w:jc w:val="center"/>
              <w:rPr>
                <w:rFonts w:ascii="Century Gothic" w:eastAsia="Times New Roman" w:hAnsi="Century Gothic" w:cs="Times New Roman"/>
                <w:b/>
                <w:bCs/>
                <w:color w:val="000000"/>
                <w:sz w:val="12"/>
                <w:szCs w:val="12"/>
                <w:lang w:eastAsia="es-MX"/>
              </w:rPr>
            </w:pPr>
            <w:r w:rsidRPr="0050035B">
              <w:rPr>
                <w:rFonts w:ascii="Century Gothic" w:eastAsia="Times New Roman" w:hAnsi="Century Gothic" w:cs="Times New Roman"/>
                <w:b/>
                <w:bCs/>
                <w:color w:val="000000"/>
                <w:sz w:val="12"/>
                <w:szCs w:val="12"/>
                <w:lang w:eastAsia="es-MX"/>
              </w:rPr>
              <w:t>MUNICIPIO DE LA CIUDAD DE MONTERREY, NUEVO LEÓN</w:t>
            </w:r>
          </w:p>
        </w:tc>
      </w:tr>
      <w:tr w:rsidR="00CA0FA3" w:rsidRPr="0050035B" w:rsidTr="00E44364">
        <w:trPr>
          <w:trHeight w:val="131"/>
        </w:trPr>
        <w:tc>
          <w:tcPr>
            <w:tcW w:w="5000" w:type="pct"/>
            <w:gridSpan w:val="6"/>
            <w:shd w:val="clear" w:color="auto" w:fill="FABF8F" w:themeFill="accent6" w:themeFillTint="99"/>
            <w:noWrap/>
            <w:hideMark/>
          </w:tcPr>
          <w:p w:rsidR="00CA0FA3" w:rsidRPr="0050035B" w:rsidRDefault="00CA0FA3" w:rsidP="00CA0FA3">
            <w:pPr>
              <w:jc w:val="center"/>
              <w:rPr>
                <w:rFonts w:ascii="Century Gothic" w:eastAsia="Times New Roman" w:hAnsi="Century Gothic" w:cs="Times New Roman"/>
                <w:b/>
                <w:bCs/>
                <w:color w:val="000000"/>
                <w:sz w:val="12"/>
                <w:szCs w:val="12"/>
                <w:lang w:eastAsia="es-MX"/>
              </w:rPr>
            </w:pPr>
            <w:r w:rsidRPr="0050035B">
              <w:rPr>
                <w:rFonts w:ascii="Century Gothic" w:eastAsia="Times New Roman" w:hAnsi="Century Gothic" w:cs="Times New Roman"/>
                <w:b/>
                <w:bCs/>
                <w:color w:val="000000"/>
                <w:sz w:val="12"/>
                <w:szCs w:val="12"/>
                <w:lang w:eastAsia="es-MX"/>
              </w:rPr>
              <w:t>Proyecciones de Ingresos - LDF</w:t>
            </w:r>
          </w:p>
        </w:tc>
      </w:tr>
      <w:tr w:rsidR="00CA0FA3" w:rsidRPr="0050035B" w:rsidTr="00E44364">
        <w:trPr>
          <w:trHeight w:val="106"/>
        </w:trPr>
        <w:tc>
          <w:tcPr>
            <w:tcW w:w="5000" w:type="pct"/>
            <w:gridSpan w:val="6"/>
            <w:shd w:val="clear" w:color="auto" w:fill="FABF8F" w:themeFill="accent6" w:themeFillTint="99"/>
            <w:noWrap/>
            <w:hideMark/>
          </w:tcPr>
          <w:p w:rsidR="00CA0FA3" w:rsidRPr="0050035B" w:rsidRDefault="00CA0FA3" w:rsidP="00CA0FA3">
            <w:pPr>
              <w:jc w:val="center"/>
              <w:rPr>
                <w:rFonts w:ascii="Century Gothic" w:eastAsia="Times New Roman" w:hAnsi="Century Gothic" w:cs="Times New Roman"/>
                <w:b/>
                <w:bCs/>
                <w:color w:val="000000"/>
                <w:sz w:val="12"/>
                <w:szCs w:val="12"/>
                <w:lang w:eastAsia="es-MX"/>
              </w:rPr>
            </w:pPr>
            <w:r w:rsidRPr="0050035B">
              <w:rPr>
                <w:rFonts w:ascii="Century Gothic" w:eastAsia="Times New Roman" w:hAnsi="Century Gothic" w:cs="Times New Roman"/>
                <w:b/>
                <w:bCs/>
                <w:color w:val="000000"/>
                <w:sz w:val="12"/>
                <w:szCs w:val="12"/>
                <w:lang w:eastAsia="es-MX"/>
              </w:rPr>
              <w:t>(PESOS)</w:t>
            </w:r>
          </w:p>
        </w:tc>
      </w:tr>
      <w:tr w:rsidR="00CA0FA3" w:rsidRPr="0050035B" w:rsidTr="00E44364">
        <w:trPr>
          <w:trHeight w:val="94"/>
        </w:trPr>
        <w:tc>
          <w:tcPr>
            <w:tcW w:w="5000" w:type="pct"/>
            <w:gridSpan w:val="6"/>
            <w:shd w:val="clear" w:color="auto" w:fill="FABF8F" w:themeFill="accent6" w:themeFillTint="99"/>
            <w:noWrap/>
            <w:hideMark/>
          </w:tcPr>
          <w:p w:rsidR="00CA0FA3" w:rsidRPr="0050035B" w:rsidRDefault="00CA0FA3" w:rsidP="00CA0FA3">
            <w:pPr>
              <w:jc w:val="center"/>
              <w:rPr>
                <w:rFonts w:ascii="Century Gothic" w:eastAsia="Times New Roman" w:hAnsi="Century Gothic" w:cs="Times New Roman"/>
                <w:b/>
                <w:bCs/>
                <w:color w:val="000000"/>
                <w:sz w:val="12"/>
                <w:szCs w:val="12"/>
                <w:lang w:eastAsia="es-MX"/>
              </w:rPr>
            </w:pPr>
            <w:r w:rsidRPr="0050035B">
              <w:rPr>
                <w:rFonts w:ascii="Century Gothic" w:eastAsia="Times New Roman" w:hAnsi="Century Gothic" w:cs="Times New Roman"/>
                <w:b/>
                <w:bCs/>
                <w:color w:val="000000"/>
                <w:sz w:val="12"/>
                <w:szCs w:val="12"/>
                <w:lang w:eastAsia="es-MX"/>
              </w:rPr>
              <w:t xml:space="preserve">(CIFRAS NOMINALES) </w:t>
            </w:r>
          </w:p>
        </w:tc>
      </w:tr>
      <w:tr w:rsidR="00C95B5B" w:rsidRPr="0050035B" w:rsidTr="00E44364">
        <w:trPr>
          <w:trHeight w:val="81"/>
        </w:trPr>
        <w:tc>
          <w:tcPr>
            <w:tcW w:w="1388" w:type="pct"/>
            <w:vMerge w:val="restart"/>
            <w:shd w:val="clear" w:color="auto" w:fill="FABF8F" w:themeFill="accent6" w:themeFillTint="99"/>
            <w:hideMark/>
          </w:tcPr>
          <w:p w:rsidR="00C95B5B" w:rsidRPr="0050035B" w:rsidRDefault="00C95B5B" w:rsidP="00C95B5B">
            <w:pPr>
              <w:jc w:val="center"/>
              <w:rPr>
                <w:rFonts w:ascii="Century Gothic" w:eastAsia="Times New Roman" w:hAnsi="Century Gothic" w:cs="Times New Roman"/>
                <w:b/>
                <w:bCs/>
                <w:color w:val="000000"/>
                <w:sz w:val="12"/>
                <w:szCs w:val="12"/>
                <w:lang w:eastAsia="es-MX"/>
              </w:rPr>
            </w:pPr>
            <w:r w:rsidRPr="0050035B">
              <w:rPr>
                <w:rFonts w:ascii="Century Gothic" w:eastAsia="Times New Roman" w:hAnsi="Century Gothic" w:cs="Times New Roman"/>
                <w:b/>
                <w:bCs/>
                <w:color w:val="000000"/>
                <w:sz w:val="12"/>
                <w:szCs w:val="12"/>
                <w:lang w:eastAsia="es-MX"/>
              </w:rPr>
              <w:t>Concepto (b)</w:t>
            </w:r>
          </w:p>
        </w:tc>
        <w:tc>
          <w:tcPr>
            <w:tcW w:w="746" w:type="pct"/>
            <w:shd w:val="clear" w:color="auto" w:fill="FABF8F" w:themeFill="accent6" w:themeFillTint="99"/>
            <w:hideMark/>
          </w:tcPr>
          <w:p w:rsidR="00C95B5B" w:rsidRPr="0050035B" w:rsidRDefault="00C95B5B" w:rsidP="00C95B5B">
            <w:pPr>
              <w:jc w:val="center"/>
              <w:rPr>
                <w:rFonts w:ascii="Century Gothic" w:eastAsia="Times New Roman" w:hAnsi="Century Gothic" w:cs="Times New Roman"/>
                <w:b/>
                <w:bCs/>
                <w:color w:val="000000"/>
                <w:sz w:val="12"/>
                <w:szCs w:val="12"/>
                <w:lang w:eastAsia="es-MX"/>
              </w:rPr>
            </w:pPr>
            <w:r w:rsidRPr="0050035B">
              <w:rPr>
                <w:rFonts w:ascii="Century Gothic" w:eastAsia="Times New Roman" w:hAnsi="Century Gothic" w:cs="Times New Roman"/>
                <w:b/>
                <w:bCs/>
                <w:color w:val="000000"/>
                <w:sz w:val="12"/>
                <w:szCs w:val="12"/>
                <w:lang w:eastAsia="es-MX"/>
              </w:rPr>
              <w:t xml:space="preserve">Año en Cuestión </w:t>
            </w:r>
          </w:p>
        </w:tc>
        <w:tc>
          <w:tcPr>
            <w:tcW w:w="746" w:type="pct"/>
            <w:vMerge w:val="restart"/>
            <w:shd w:val="clear" w:color="auto" w:fill="FABF8F" w:themeFill="accent6" w:themeFillTint="99"/>
            <w:vAlign w:val="center"/>
            <w:hideMark/>
          </w:tcPr>
          <w:p w:rsidR="00C95B5B" w:rsidRPr="0050035B" w:rsidRDefault="00C95B5B" w:rsidP="00C95B5B">
            <w:pPr>
              <w:jc w:val="center"/>
              <w:rPr>
                <w:rFonts w:ascii="Century Gothic" w:eastAsia="Times New Roman" w:hAnsi="Century Gothic" w:cs="Times New Roman"/>
                <w:b/>
                <w:bCs/>
                <w:color w:val="000000"/>
                <w:sz w:val="12"/>
                <w:szCs w:val="12"/>
                <w:lang w:eastAsia="es-MX"/>
              </w:rPr>
            </w:pPr>
            <w:r w:rsidRPr="00C95B5B">
              <w:rPr>
                <w:rFonts w:ascii="Century Gothic" w:eastAsia="Times New Roman" w:hAnsi="Century Gothic" w:cs="Times New Roman"/>
                <w:b/>
                <w:bCs/>
                <w:color w:val="000000"/>
                <w:sz w:val="12"/>
                <w:szCs w:val="12"/>
                <w:lang w:eastAsia="es-MX"/>
              </w:rPr>
              <w:t>Año 1 (2023)</w:t>
            </w:r>
          </w:p>
        </w:tc>
        <w:tc>
          <w:tcPr>
            <w:tcW w:w="746" w:type="pct"/>
            <w:vMerge w:val="restart"/>
            <w:shd w:val="clear" w:color="auto" w:fill="FABF8F" w:themeFill="accent6" w:themeFillTint="99"/>
            <w:vAlign w:val="center"/>
            <w:hideMark/>
          </w:tcPr>
          <w:p w:rsidR="00C95B5B" w:rsidRPr="0050035B" w:rsidRDefault="00C95B5B" w:rsidP="00C95B5B">
            <w:pPr>
              <w:jc w:val="center"/>
              <w:rPr>
                <w:rFonts w:ascii="Century Gothic" w:eastAsia="Times New Roman" w:hAnsi="Century Gothic" w:cs="Times New Roman"/>
                <w:b/>
                <w:bCs/>
                <w:color w:val="000000"/>
                <w:sz w:val="12"/>
                <w:szCs w:val="12"/>
                <w:lang w:eastAsia="es-MX"/>
              </w:rPr>
            </w:pPr>
            <w:r w:rsidRPr="00C95B5B">
              <w:rPr>
                <w:rFonts w:ascii="Century Gothic" w:eastAsia="Times New Roman" w:hAnsi="Century Gothic" w:cs="Times New Roman"/>
                <w:b/>
                <w:bCs/>
                <w:color w:val="000000"/>
                <w:sz w:val="12"/>
                <w:szCs w:val="12"/>
                <w:lang w:eastAsia="es-MX"/>
              </w:rPr>
              <w:t>Año 2 (2024)</w:t>
            </w:r>
          </w:p>
        </w:tc>
        <w:tc>
          <w:tcPr>
            <w:tcW w:w="746" w:type="pct"/>
            <w:vMerge w:val="restart"/>
            <w:shd w:val="clear" w:color="auto" w:fill="FABF8F" w:themeFill="accent6" w:themeFillTint="99"/>
            <w:vAlign w:val="center"/>
            <w:hideMark/>
          </w:tcPr>
          <w:p w:rsidR="00C95B5B" w:rsidRPr="0050035B" w:rsidRDefault="00C95B5B" w:rsidP="00C95B5B">
            <w:pPr>
              <w:jc w:val="center"/>
              <w:rPr>
                <w:rFonts w:ascii="Century Gothic" w:eastAsia="Times New Roman" w:hAnsi="Century Gothic" w:cs="Times New Roman"/>
                <w:b/>
                <w:bCs/>
                <w:color w:val="000000"/>
                <w:sz w:val="12"/>
                <w:szCs w:val="12"/>
                <w:lang w:eastAsia="es-MX"/>
              </w:rPr>
            </w:pPr>
            <w:r w:rsidRPr="00C95B5B">
              <w:rPr>
                <w:rFonts w:ascii="Century Gothic" w:eastAsia="Times New Roman" w:hAnsi="Century Gothic" w:cs="Times New Roman"/>
                <w:b/>
                <w:bCs/>
                <w:color w:val="000000"/>
                <w:sz w:val="12"/>
                <w:szCs w:val="12"/>
                <w:lang w:eastAsia="es-MX"/>
              </w:rPr>
              <w:t>Año 2 (2025)</w:t>
            </w:r>
          </w:p>
        </w:tc>
        <w:tc>
          <w:tcPr>
            <w:tcW w:w="628" w:type="pct"/>
            <w:vMerge w:val="restart"/>
            <w:shd w:val="clear" w:color="auto" w:fill="FABF8F" w:themeFill="accent6" w:themeFillTint="99"/>
            <w:vAlign w:val="center"/>
            <w:hideMark/>
          </w:tcPr>
          <w:p w:rsidR="00C95B5B" w:rsidRPr="0050035B" w:rsidRDefault="00C95B5B" w:rsidP="00C95B5B">
            <w:pPr>
              <w:jc w:val="center"/>
              <w:rPr>
                <w:rFonts w:ascii="Century Gothic" w:eastAsia="Times New Roman" w:hAnsi="Century Gothic" w:cs="Times New Roman"/>
                <w:b/>
                <w:bCs/>
                <w:color w:val="000000"/>
                <w:sz w:val="12"/>
                <w:szCs w:val="12"/>
                <w:lang w:eastAsia="es-MX"/>
              </w:rPr>
            </w:pPr>
            <w:r w:rsidRPr="00C95B5B">
              <w:rPr>
                <w:rFonts w:ascii="Century Gothic" w:eastAsia="Times New Roman" w:hAnsi="Century Gothic" w:cs="Times New Roman"/>
                <w:b/>
                <w:bCs/>
                <w:color w:val="000000"/>
                <w:sz w:val="12"/>
                <w:szCs w:val="12"/>
                <w:lang w:eastAsia="es-MX"/>
              </w:rPr>
              <w:t>Año 2 (2026)</w:t>
            </w:r>
          </w:p>
        </w:tc>
      </w:tr>
      <w:tr w:rsidR="00CA0FA3" w:rsidRPr="0050035B" w:rsidTr="00E44364">
        <w:trPr>
          <w:trHeight w:val="339"/>
        </w:trPr>
        <w:tc>
          <w:tcPr>
            <w:tcW w:w="1388" w:type="pct"/>
            <w:vMerge/>
            <w:hideMark/>
          </w:tcPr>
          <w:p w:rsidR="00CA0FA3" w:rsidRPr="0050035B" w:rsidRDefault="00CA0FA3" w:rsidP="00CA0FA3">
            <w:pPr>
              <w:rPr>
                <w:rFonts w:ascii="Century Gothic" w:eastAsia="Times New Roman" w:hAnsi="Century Gothic" w:cs="Times New Roman"/>
                <w:b/>
                <w:bCs/>
                <w:color w:val="000000"/>
                <w:sz w:val="12"/>
                <w:szCs w:val="12"/>
                <w:lang w:eastAsia="es-MX"/>
              </w:rPr>
            </w:pPr>
          </w:p>
        </w:tc>
        <w:tc>
          <w:tcPr>
            <w:tcW w:w="746" w:type="pct"/>
            <w:shd w:val="clear" w:color="auto" w:fill="FABF8F" w:themeFill="accent6" w:themeFillTint="99"/>
            <w:hideMark/>
          </w:tcPr>
          <w:p w:rsidR="00CA0FA3" w:rsidRPr="0050035B" w:rsidRDefault="00C95B5B" w:rsidP="00CA0FA3">
            <w:pPr>
              <w:jc w:val="center"/>
              <w:rPr>
                <w:rFonts w:ascii="Century Gothic" w:eastAsia="Times New Roman" w:hAnsi="Century Gothic" w:cs="Times New Roman"/>
                <w:b/>
                <w:bCs/>
                <w:color w:val="000000"/>
                <w:sz w:val="12"/>
                <w:szCs w:val="12"/>
                <w:lang w:eastAsia="es-MX"/>
              </w:rPr>
            </w:pPr>
            <w:r>
              <w:rPr>
                <w:rFonts w:ascii="Century Gothic" w:eastAsia="Times New Roman" w:hAnsi="Century Gothic" w:cs="Times New Roman"/>
                <w:b/>
                <w:bCs/>
                <w:color w:val="000000"/>
                <w:sz w:val="12"/>
                <w:szCs w:val="12"/>
                <w:lang w:eastAsia="es-MX"/>
              </w:rPr>
              <w:t>2022</w:t>
            </w:r>
            <w:r w:rsidR="00CA0FA3" w:rsidRPr="0050035B">
              <w:rPr>
                <w:rFonts w:ascii="Century Gothic" w:eastAsia="Times New Roman" w:hAnsi="Century Gothic" w:cs="Times New Roman"/>
                <w:b/>
                <w:bCs/>
                <w:color w:val="000000"/>
                <w:sz w:val="12"/>
                <w:szCs w:val="12"/>
                <w:lang w:eastAsia="es-MX"/>
              </w:rPr>
              <w:t xml:space="preserve"> (de iniciativa de Ley) (c) </w:t>
            </w:r>
          </w:p>
        </w:tc>
        <w:tc>
          <w:tcPr>
            <w:tcW w:w="746" w:type="pct"/>
            <w:vMerge/>
            <w:hideMark/>
          </w:tcPr>
          <w:p w:rsidR="00CA0FA3" w:rsidRPr="0050035B" w:rsidRDefault="00CA0FA3" w:rsidP="00CA0FA3">
            <w:pPr>
              <w:rPr>
                <w:rFonts w:ascii="Century Gothic" w:eastAsia="Times New Roman" w:hAnsi="Century Gothic" w:cs="Times New Roman"/>
                <w:b/>
                <w:bCs/>
                <w:color w:val="000000"/>
                <w:sz w:val="12"/>
                <w:szCs w:val="12"/>
                <w:lang w:eastAsia="es-MX"/>
              </w:rPr>
            </w:pPr>
          </w:p>
        </w:tc>
        <w:tc>
          <w:tcPr>
            <w:tcW w:w="746" w:type="pct"/>
            <w:vMerge/>
            <w:hideMark/>
          </w:tcPr>
          <w:p w:rsidR="00CA0FA3" w:rsidRPr="0050035B" w:rsidRDefault="00CA0FA3" w:rsidP="00CA0FA3">
            <w:pPr>
              <w:rPr>
                <w:rFonts w:ascii="Century Gothic" w:eastAsia="Times New Roman" w:hAnsi="Century Gothic" w:cs="Times New Roman"/>
                <w:b/>
                <w:bCs/>
                <w:color w:val="000000"/>
                <w:sz w:val="12"/>
                <w:szCs w:val="12"/>
                <w:lang w:eastAsia="es-MX"/>
              </w:rPr>
            </w:pPr>
          </w:p>
        </w:tc>
        <w:tc>
          <w:tcPr>
            <w:tcW w:w="746" w:type="pct"/>
            <w:vMerge/>
            <w:hideMark/>
          </w:tcPr>
          <w:p w:rsidR="00CA0FA3" w:rsidRPr="0050035B" w:rsidRDefault="00CA0FA3" w:rsidP="00CA0FA3">
            <w:pPr>
              <w:rPr>
                <w:rFonts w:ascii="Century Gothic" w:eastAsia="Times New Roman" w:hAnsi="Century Gothic" w:cs="Times New Roman"/>
                <w:b/>
                <w:bCs/>
                <w:color w:val="000000"/>
                <w:sz w:val="12"/>
                <w:szCs w:val="12"/>
                <w:lang w:eastAsia="es-MX"/>
              </w:rPr>
            </w:pPr>
          </w:p>
        </w:tc>
        <w:tc>
          <w:tcPr>
            <w:tcW w:w="628" w:type="pct"/>
            <w:vMerge/>
            <w:hideMark/>
          </w:tcPr>
          <w:p w:rsidR="00CA0FA3" w:rsidRPr="0050035B" w:rsidRDefault="00CA0FA3" w:rsidP="00CA0FA3">
            <w:pPr>
              <w:rPr>
                <w:rFonts w:ascii="Century Gothic" w:eastAsia="Times New Roman" w:hAnsi="Century Gothic" w:cs="Times New Roman"/>
                <w:b/>
                <w:bCs/>
                <w:color w:val="000000"/>
                <w:sz w:val="12"/>
                <w:szCs w:val="12"/>
                <w:lang w:eastAsia="es-MX"/>
              </w:rPr>
            </w:pPr>
          </w:p>
        </w:tc>
      </w:tr>
      <w:tr w:rsidR="00F470D9" w:rsidRPr="0050035B" w:rsidTr="00E44364">
        <w:trPr>
          <w:trHeight w:val="300"/>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b/>
                <w:bCs/>
                <w:color w:val="000000"/>
                <w:sz w:val="12"/>
                <w:szCs w:val="12"/>
                <w:lang w:eastAsia="es-MX"/>
              </w:rPr>
            </w:pPr>
            <w:r w:rsidRPr="0050035B">
              <w:rPr>
                <w:rFonts w:ascii="Century Gothic" w:eastAsia="Times New Roman" w:hAnsi="Century Gothic" w:cs="Times New Roman"/>
                <w:b/>
                <w:bCs/>
                <w:color w:val="000000"/>
                <w:sz w:val="12"/>
                <w:szCs w:val="12"/>
                <w:lang w:eastAsia="es-MX"/>
              </w:rPr>
              <w:t>1.   Ingresos de Libre Disposición (1=A+B+C+D+E+F+G+H+I+J+K+L)</w:t>
            </w:r>
          </w:p>
        </w:tc>
        <w:tc>
          <w:tcPr>
            <w:tcW w:w="746"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5,725,095,306.51</w:t>
            </w:r>
          </w:p>
        </w:tc>
        <w:tc>
          <w:tcPr>
            <w:tcW w:w="746"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5,982,724,595.34</w:t>
            </w:r>
          </w:p>
        </w:tc>
        <w:tc>
          <w:tcPr>
            <w:tcW w:w="746"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6,251,947,202.17</w:t>
            </w:r>
          </w:p>
        </w:tc>
        <w:tc>
          <w:tcPr>
            <w:tcW w:w="746"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6,533,284,826.29</w:t>
            </w:r>
          </w:p>
        </w:tc>
        <w:tc>
          <w:tcPr>
            <w:tcW w:w="628"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6,827,282,643.51</w:t>
            </w:r>
          </w:p>
        </w:tc>
      </w:tr>
      <w:tr w:rsidR="00F470D9" w:rsidRPr="0050035B" w:rsidTr="00E44364">
        <w:trPr>
          <w:trHeight w:val="300"/>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A.    Impuestos</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2,281,770,937.58</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2,384,450,629.78</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2,491,750,908.13</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2,603,879,699.00</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2,721,054,285.46</w:t>
            </w:r>
          </w:p>
        </w:tc>
      </w:tr>
      <w:tr w:rsidR="00F470D9" w:rsidRPr="0050035B" w:rsidTr="00E44364">
        <w:trPr>
          <w:trHeight w:val="360"/>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B.    Cuotas y Aportaciones de Seguridad Social</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r>
      <w:tr w:rsidR="00F470D9" w:rsidRPr="0050035B" w:rsidTr="00E44364">
        <w:trPr>
          <w:trHeight w:val="300"/>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C.    Contribuciones de Mejoras</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r>
      <w:tr w:rsidR="00F470D9" w:rsidRPr="0050035B" w:rsidTr="00E44364">
        <w:trPr>
          <w:trHeight w:val="285"/>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D.    Derechos</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268,214,704.19</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280,284,365.88</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292,897,162.35</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306,077,534.66</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319,851,023.72</w:t>
            </w:r>
          </w:p>
        </w:tc>
      </w:tr>
      <w:tr w:rsidR="00F470D9" w:rsidRPr="0050035B" w:rsidTr="00E44364">
        <w:trPr>
          <w:trHeight w:val="285"/>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E.    Productos</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129,665,602.07</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135,500,554.17</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141,598,079.11</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147,969,992.67</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154,628,642.35</w:t>
            </w:r>
          </w:p>
        </w:tc>
      </w:tr>
      <w:tr w:rsidR="00F470D9" w:rsidRPr="0050035B" w:rsidTr="00E44364">
        <w:trPr>
          <w:trHeight w:val="285"/>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F.     Aprovechamientos</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228,099,297.62</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238,363,766.02</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249,090,135.50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260,299,191.60</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272,012,655.23</w:t>
            </w:r>
          </w:p>
        </w:tc>
      </w:tr>
      <w:tr w:rsidR="00F470D9" w:rsidRPr="0050035B" w:rsidTr="00E44364">
        <w:trPr>
          <w:trHeight w:val="285"/>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G.    Ingresos por Ventas de Bienes y Servicios</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r>
      <w:tr w:rsidR="00F470D9" w:rsidRPr="0050035B" w:rsidTr="00E44364">
        <w:trPr>
          <w:trHeight w:val="285"/>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H.    Participaciones</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2,420,639,404.03</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2,529,568,177.22</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2,643,398,745.20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2,762,351,688.74</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2,886,657,514.74</w:t>
            </w:r>
          </w:p>
        </w:tc>
      </w:tr>
      <w:tr w:rsidR="00F470D9" w:rsidRPr="0050035B" w:rsidTr="00E44364">
        <w:trPr>
          <w:trHeight w:val="300"/>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I.      Incentivos Derivados de la Colaboración Fiscal</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58,186,448.66</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60,804,838.85</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63,541,056.60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66,400,404.15</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69,388,422.34</w:t>
            </w:r>
          </w:p>
        </w:tc>
      </w:tr>
      <w:tr w:rsidR="00F470D9" w:rsidRPr="0050035B" w:rsidTr="00E44364">
        <w:trPr>
          <w:trHeight w:val="300"/>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J.     Transferencias</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r>
      <w:tr w:rsidR="00F470D9" w:rsidRPr="0050035B" w:rsidTr="00E44364">
        <w:trPr>
          <w:trHeight w:val="292"/>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K.    Convenios</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60,000,000.00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62,700,000.00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65,521,500.00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68,469,967.50</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71,551,116.04</w:t>
            </w:r>
          </w:p>
        </w:tc>
      </w:tr>
      <w:tr w:rsidR="00F470D9" w:rsidRPr="0050035B" w:rsidTr="00E44364">
        <w:trPr>
          <w:trHeight w:val="300"/>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L.     Otros Ingresos de Libre Disposición</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278,518,912.36</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291,052,263.42</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304,149,615.28</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317,836,347.97</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332,138,983.63</w:t>
            </w:r>
          </w:p>
        </w:tc>
      </w:tr>
      <w:tr w:rsidR="00F470D9" w:rsidRPr="0050035B" w:rsidTr="00E44364">
        <w:trPr>
          <w:trHeight w:val="102"/>
        </w:trPr>
        <w:tc>
          <w:tcPr>
            <w:tcW w:w="1388" w:type="pct"/>
            <w:shd w:val="clear" w:color="auto" w:fill="D9D9D9" w:themeFill="background1" w:themeFillShade="D9"/>
            <w:hideMark/>
          </w:tcPr>
          <w:p w:rsidR="00F470D9" w:rsidRPr="0050035B" w:rsidRDefault="00F470D9" w:rsidP="00F470D9">
            <w:pPr>
              <w:jc w:val="both"/>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 </w:t>
            </w:r>
          </w:p>
        </w:tc>
        <w:tc>
          <w:tcPr>
            <w:tcW w:w="746" w:type="pct"/>
            <w:vAlign w:val="center"/>
            <w:hideMark/>
          </w:tcPr>
          <w:p w:rsidR="00F470D9" w:rsidRPr="00F470D9" w:rsidRDefault="00F470D9" w:rsidP="00F470D9">
            <w:pPr>
              <w:jc w:val="both"/>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r>
      <w:tr w:rsidR="00F470D9" w:rsidRPr="0050035B" w:rsidTr="00E44364">
        <w:trPr>
          <w:trHeight w:val="300"/>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b/>
                <w:bCs/>
                <w:color w:val="000000"/>
                <w:sz w:val="12"/>
                <w:szCs w:val="12"/>
                <w:lang w:eastAsia="es-MX"/>
              </w:rPr>
            </w:pPr>
            <w:r w:rsidRPr="0050035B">
              <w:rPr>
                <w:rFonts w:ascii="Century Gothic" w:eastAsia="Times New Roman" w:hAnsi="Century Gothic" w:cs="Times New Roman"/>
                <w:b/>
                <w:bCs/>
                <w:color w:val="000000"/>
                <w:sz w:val="12"/>
                <w:szCs w:val="12"/>
                <w:lang w:eastAsia="es-MX"/>
              </w:rPr>
              <w:t>2.   Transferencias Federales Etiquetadas (2=A+B+C+D+E)</w:t>
            </w:r>
          </w:p>
        </w:tc>
        <w:tc>
          <w:tcPr>
            <w:tcW w:w="746"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931,492,539.91</w:t>
            </w:r>
          </w:p>
        </w:tc>
        <w:tc>
          <w:tcPr>
            <w:tcW w:w="746"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973,409,704.21</w:t>
            </w:r>
          </w:p>
        </w:tc>
        <w:tc>
          <w:tcPr>
            <w:tcW w:w="746"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1,017,213,140.90</w:t>
            </w:r>
          </w:p>
        </w:tc>
        <w:tc>
          <w:tcPr>
            <w:tcW w:w="746"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1,062,987,732.25</w:t>
            </w:r>
          </w:p>
        </w:tc>
        <w:tc>
          <w:tcPr>
            <w:tcW w:w="628"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1,110,822,180.21</w:t>
            </w:r>
          </w:p>
        </w:tc>
      </w:tr>
      <w:tr w:rsidR="00F470D9" w:rsidRPr="0050035B" w:rsidTr="00E44364">
        <w:trPr>
          <w:trHeight w:val="300"/>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A.    Aportaciones</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871,492,539.91</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910,709,704.21</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951,691,640.90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994,517,764.75</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1,039,271,064.17</w:t>
            </w:r>
          </w:p>
        </w:tc>
      </w:tr>
      <w:tr w:rsidR="00F470D9" w:rsidRPr="0050035B" w:rsidTr="00E44364">
        <w:trPr>
          <w:trHeight w:val="300"/>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B.    Convenios</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60,000,000.00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62,700,000.00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65,521,500.00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68,469,967.50</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71,551,116.04</w:t>
            </w:r>
          </w:p>
        </w:tc>
      </w:tr>
      <w:tr w:rsidR="00F470D9" w:rsidRPr="0050035B" w:rsidTr="00E44364">
        <w:trPr>
          <w:trHeight w:val="300"/>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C.    Fondos Distintos de Aportaciones</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r>
      <w:tr w:rsidR="00F470D9" w:rsidRPr="0050035B" w:rsidTr="00E44364">
        <w:trPr>
          <w:trHeight w:val="300"/>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D.    Transferencias, Subsidios y Subvenciones, y Pensiones y Jubilaciones</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r>
      <w:tr w:rsidR="00F470D9" w:rsidRPr="0050035B" w:rsidTr="00E44364">
        <w:trPr>
          <w:trHeight w:val="300"/>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E.    Otras Transferencias Federales Etiquetadas</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r>
      <w:tr w:rsidR="00F470D9" w:rsidRPr="0050035B" w:rsidTr="00E44364">
        <w:trPr>
          <w:trHeight w:val="203"/>
        </w:trPr>
        <w:tc>
          <w:tcPr>
            <w:tcW w:w="1388" w:type="pct"/>
            <w:shd w:val="clear" w:color="auto" w:fill="D9D9D9" w:themeFill="background1" w:themeFillShade="D9"/>
            <w:hideMark/>
          </w:tcPr>
          <w:p w:rsidR="00F470D9" w:rsidRPr="0050035B" w:rsidRDefault="00F470D9" w:rsidP="00F470D9">
            <w:pPr>
              <w:jc w:val="both"/>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 </w:t>
            </w:r>
          </w:p>
        </w:tc>
        <w:tc>
          <w:tcPr>
            <w:tcW w:w="746" w:type="pct"/>
            <w:vAlign w:val="center"/>
            <w:hideMark/>
          </w:tcPr>
          <w:p w:rsidR="00F470D9" w:rsidRPr="00F470D9" w:rsidRDefault="00F470D9" w:rsidP="00F470D9">
            <w:pPr>
              <w:jc w:val="both"/>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r>
      <w:tr w:rsidR="00F470D9" w:rsidRPr="0050035B" w:rsidTr="00E44364">
        <w:trPr>
          <w:trHeight w:val="300"/>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b/>
                <w:bCs/>
                <w:color w:val="000000"/>
                <w:sz w:val="12"/>
                <w:szCs w:val="12"/>
                <w:lang w:eastAsia="es-MX"/>
              </w:rPr>
            </w:pPr>
            <w:r w:rsidRPr="0050035B">
              <w:rPr>
                <w:rFonts w:ascii="Century Gothic" w:eastAsia="Times New Roman" w:hAnsi="Century Gothic" w:cs="Times New Roman"/>
                <w:b/>
                <w:bCs/>
                <w:color w:val="000000"/>
                <w:sz w:val="12"/>
                <w:szCs w:val="12"/>
                <w:lang w:eastAsia="es-MX"/>
              </w:rPr>
              <w:t>3.   Ingresos Derivados de Financiamientos (3=A)</w:t>
            </w:r>
          </w:p>
        </w:tc>
        <w:tc>
          <w:tcPr>
            <w:tcW w:w="746"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332,829,392.32</w:t>
            </w:r>
          </w:p>
        </w:tc>
        <w:tc>
          <w:tcPr>
            <w:tcW w:w="746"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347,806,714.98</w:t>
            </w:r>
          </w:p>
        </w:tc>
        <w:tc>
          <w:tcPr>
            <w:tcW w:w="746"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363,458,017.15</w:t>
            </w:r>
          </w:p>
        </w:tc>
        <w:tc>
          <w:tcPr>
            <w:tcW w:w="746"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379,813,627.93</w:t>
            </w:r>
          </w:p>
        </w:tc>
        <w:tc>
          <w:tcPr>
            <w:tcW w:w="628"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396,905,241.19</w:t>
            </w:r>
          </w:p>
        </w:tc>
      </w:tr>
      <w:tr w:rsidR="00F470D9" w:rsidRPr="0050035B" w:rsidTr="00E44364">
        <w:trPr>
          <w:trHeight w:val="300"/>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A.    Ingresos Derivados de Financiamientos</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332,829,392.32</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347,806,714.98</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363,458,017.15</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379,813,627.93</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396,905,241.19</w:t>
            </w:r>
          </w:p>
        </w:tc>
      </w:tr>
      <w:tr w:rsidR="00F470D9" w:rsidRPr="0050035B" w:rsidTr="00E44364">
        <w:trPr>
          <w:trHeight w:val="130"/>
        </w:trPr>
        <w:tc>
          <w:tcPr>
            <w:tcW w:w="1388" w:type="pct"/>
            <w:shd w:val="clear" w:color="auto" w:fill="D9D9D9" w:themeFill="background1" w:themeFillShade="D9"/>
            <w:hideMark/>
          </w:tcPr>
          <w:p w:rsidR="00F470D9" w:rsidRPr="0050035B" w:rsidRDefault="00F470D9" w:rsidP="00F470D9">
            <w:pPr>
              <w:jc w:val="both"/>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 </w:t>
            </w:r>
          </w:p>
        </w:tc>
        <w:tc>
          <w:tcPr>
            <w:tcW w:w="746" w:type="pct"/>
            <w:vAlign w:val="center"/>
            <w:hideMark/>
          </w:tcPr>
          <w:p w:rsidR="00F470D9" w:rsidRPr="00F470D9" w:rsidRDefault="00F470D9" w:rsidP="00F470D9">
            <w:pPr>
              <w:jc w:val="both"/>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r>
      <w:tr w:rsidR="00F470D9" w:rsidRPr="0050035B" w:rsidTr="00E44364">
        <w:trPr>
          <w:trHeight w:val="300"/>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b/>
                <w:bCs/>
                <w:color w:val="000000"/>
                <w:sz w:val="12"/>
                <w:szCs w:val="12"/>
                <w:lang w:eastAsia="es-MX"/>
              </w:rPr>
            </w:pPr>
            <w:r w:rsidRPr="0050035B">
              <w:rPr>
                <w:rFonts w:ascii="Century Gothic" w:eastAsia="Times New Roman" w:hAnsi="Century Gothic" w:cs="Times New Roman"/>
                <w:b/>
                <w:bCs/>
                <w:color w:val="000000"/>
                <w:sz w:val="12"/>
                <w:szCs w:val="12"/>
                <w:lang w:eastAsia="es-MX"/>
              </w:rPr>
              <w:t>4.   Total de Ingresos Proyectados (4=1+2+3)</w:t>
            </w:r>
          </w:p>
        </w:tc>
        <w:tc>
          <w:tcPr>
            <w:tcW w:w="746"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6,989,417,238.74</w:t>
            </w:r>
          </w:p>
        </w:tc>
        <w:tc>
          <w:tcPr>
            <w:tcW w:w="746"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7,303,941,014.53</w:t>
            </w:r>
          </w:p>
        </w:tc>
        <w:tc>
          <w:tcPr>
            <w:tcW w:w="746"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7,632,618,360.22</w:t>
            </w:r>
          </w:p>
        </w:tc>
        <w:tc>
          <w:tcPr>
            <w:tcW w:w="746"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7,976,086,186.47</w:t>
            </w:r>
          </w:p>
        </w:tc>
        <w:tc>
          <w:tcPr>
            <w:tcW w:w="628"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8,335,010,064.91</w:t>
            </w:r>
          </w:p>
        </w:tc>
      </w:tr>
      <w:tr w:rsidR="00F470D9" w:rsidRPr="0050035B" w:rsidTr="00E44364">
        <w:trPr>
          <w:trHeight w:val="80"/>
        </w:trPr>
        <w:tc>
          <w:tcPr>
            <w:tcW w:w="1388" w:type="pct"/>
            <w:shd w:val="clear" w:color="auto" w:fill="D9D9D9" w:themeFill="background1" w:themeFillShade="D9"/>
            <w:hideMark/>
          </w:tcPr>
          <w:p w:rsidR="00F470D9" w:rsidRPr="0050035B" w:rsidRDefault="00F470D9" w:rsidP="00F470D9">
            <w:pPr>
              <w:jc w:val="both"/>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 </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r>
      <w:tr w:rsidR="00F470D9" w:rsidRPr="0050035B" w:rsidTr="00E44364">
        <w:trPr>
          <w:trHeight w:val="68"/>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b/>
                <w:bCs/>
                <w:color w:val="000000"/>
                <w:sz w:val="12"/>
                <w:szCs w:val="12"/>
                <w:lang w:eastAsia="es-MX"/>
              </w:rPr>
            </w:pPr>
            <w:r w:rsidRPr="0050035B">
              <w:rPr>
                <w:rFonts w:ascii="Century Gothic" w:eastAsia="Times New Roman" w:hAnsi="Century Gothic" w:cs="Times New Roman"/>
                <w:b/>
                <w:bCs/>
                <w:color w:val="000000"/>
                <w:sz w:val="12"/>
                <w:szCs w:val="12"/>
                <w:lang w:eastAsia="es-MX"/>
              </w:rPr>
              <w:t>Datos Informativos</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 </w:t>
            </w:r>
          </w:p>
        </w:tc>
      </w:tr>
      <w:tr w:rsidR="00F470D9" w:rsidRPr="0050035B" w:rsidTr="00E44364">
        <w:trPr>
          <w:trHeight w:val="340"/>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1. Ingresos Derivados de Financiamientos con Fuente de Pago de Recursos de Libre Disposición</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r>
      <w:tr w:rsidR="00F470D9" w:rsidRPr="0050035B" w:rsidTr="00E44364">
        <w:trPr>
          <w:trHeight w:val="459"/>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color w:val="000000"/>
                <w:sz w:val="12"/>
                <w:szCs w:val="12"/>
                <w:lang w:eastAsia="es-MX"/>
              </w:rPr>
            </w:pPr>
            <w:r w:rsidRPr="0050035B">
              <w:rPr>
                <w:rFonts w:ascii="Century Gothic" w:eastAsia="Times New Roman" w:hAnsi="Century Gothic" w:cs="Times New Roman"/>
                <w:color w:val="000000"/>
                <w:sz w:val="12"/>
                <w:szCs w:val="12"/>
                <w:lang w:eastAsia="es-MX"/>
              </w:rPr>
              <w:t>2. Ingresos derivados de Financiamientos con Fuente de Pago de Transferencias Federales Etiquetadas</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c>
          <w:tcPr>
            <w:tcW w:w="628" w:type="pct"/>
            <w:vAlign w:val="center"/>
            <w:hideMark/>
          </w:tcPr>
          <w:p w:rsidR="00F470D9" w:rsidRPr="00F470D9" w:rsidRDefault="00F470D9" w:rsidP="00F470D9">
            <w:pPr>
              <w:jc w:val="center"/>
              <w:rPr>
                <w:rFonts w:ascii="Century Gothic" w:eastAsia="Times New Roman" w:hAnsi="Century Gothic" w:cs="Times New Roman"/>
                <w:color w:val="000000"/>
                <w:sz w:val="12"/>
                <w:szCs w:val="12"/>
                <w:lang w:eastAsia="es-MX"/>
              </w:rPr>
            </w:pPr>
            <w:r w:rsidRPr="00F470D9">
              <w:rPr>
                <w:rFonts w:ascii="Century Gothic" w:hAnsi="Century Gothic" w:cs="Calibri"/>
                <w:color w:val="000000"/>
                <w:sz w:val="12"/>
                <w:szCs w:val="12"/>
              </w:rPr>
              <w:t>0.00</w:t>
            </w:r>
          </w:p>
        </w:tc>
      </w:tr>
      <w:tr w:rsidR="00F470D9" w:rsidRPr="0050035B" w:rsidTr="00E44364">
        <w:trPr>
          <w:trHeight w:val="300"/>
        </w:trPr>
        <w:tc>
          <w:tcPr>
            <w:tcW w:w="1388" w:type="pct"/>
            <w:shd w:val="clear" w:color="auto" w:fill="D9D9D9" w:themeFill="background1" w:themeFillShade="D9"/>
            <w:hideMark/>
          </w:tcPr>
          <w:p w:rsidR="00F470D9" w:rsidRPr="0050035B" w:rsidRDefault="00F470D9" w:rsidP="00F470D9">
            <w:pPr>
              <w:rPr>
                <w:rFonts w:ascii="Century Gothic" w:eastAsia="Times New Roman" w:hAnsi="Century Gothic" w:cs="Times New Roman"/>
                <w:b/>
                <w:bCs/>
                <w:color w:val="000000"/>
                <w:sz w:val="12"/>
                <w:szCs w:val="12"/>
                <w:lang w:eastAsia="es-MX"/>
              </w:rPr>
            </w:pPr>
            <w:r w:rsidRPr="0050035B">
              <w:rPr>
                <w:rFonts w:ascii="Century Gothic" w:eastAsia="Times New Roman" w:hAnsi="Century Gothic" w:cs="Times New Roman"/>
                <w:b/>
                <w:bCs/>
                <w:color w:val="000000"/>
                <w:sz w:val="12"/>
                <w:szCs w:val="12"/>
                <w:lang w:eastAsia="es-MX"/>
              </w:rPr>
              <w:t>3. Ingresos Derivados de Financiamiento (3 = 1 + 2)</w:t>
            </w:r>
          </w:p>
        </w:tc>
        <w:tc>
          <w:tcPr>
            <w:tcW w:w="746"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0.00</w:t>
            </w:r>
          </w:p>
        </w:tc>
        <w:tc>
          <w:tcPr>
            <w:tcW w:w="746"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0.00</w:t>
            </w:r>
          </w:p>
        </w:tc>
        <w:tc>
          <w:tcPr>
            <w:tcW w:w="628" w:type="pct"/>
            <w:vAlign w:val="center"/>
            <w:hideMark/>
          </w:tcPr>
          <w:p w:rsidR="00F470D9" w:rsidRPr="00F470D9" w:rsidRDefault="00F470D9" w:rsidP="00F470D9">
            <w:pPr>
              <w:jc w:val="center"/>
              <w:rPr>
                <w:rFonts w:ascii="Century Gothic" w:eastAsia="Times New Roman" w:hAnsi="Century Gothic" w:cs="Times New Roman"/>
                <w:b/>
                <w:bCs/>
                <w:color w:val="000000"/>
                <w:sz w:val="12"/>
                <w:szCs w:val="12"/>
                <w:lang w:eastAsia="es-MX"/>
              </w:rPr>
            </w:pPr>
            <w:r w:rsidRPr="00F470D9">
              <w:rPr>
                <w:rFonts w:ascii="Century Gothic" w:hAnsi="Century Gothic" w:cs="Calibri"/>
                <w:b/>
                <w:bCs/>
                <w:color w:val="000000"/>
                <w:sz w:val="12"/>
                <w:szCs w:val="12"/>
              </w:rPr>
              <w:t>0.00</w:t>
            </w:r>
          </w:p>
        </w:tc>
      </w:tr>
    </w:tbl>
    <w:p w:rsidR="008A36BD" w:rsidRPr="0050035B" w:rsidRDefault="008A36BD" w:rsidP="008A36BD">
      <w:pPr>
        <w:ind w:left="993" w:right="877"/>
        <w:jc w:val="center"/>
        <w:rPr>
          <w:rFonts w:ascii="Century Gothic" w:hAnsi="Century Gothic"/>
          <w:sz w:val="20"/>
          <w:lang w:val="es-MX"/>
        </w:rPr>
      </w:pPr>
      <w:r w:rsidRPr="0050035B">
        <w:rPr>
          <w:rFonts w:ascii="Century Gothic" w:hAnsi="Century Gothic"/>
          <w:b/>
          <w:bCs/>
          <w:sz w:val="20"/>
          <w:lang w:val="es-MX"/>
        </w:rPr>
        <w:t>Fuente</w:t>
      </w:r>
      <w:r w:rsidRPr="0050035B">
        <w:rPr>
          <w:rFonts w:ascii="Century Gothic" w:hAnsi="Century Gothic"/>
          <w:sz w:val="20"/>
          <w:lang w:val="es-MX"/>
        </w:rPr>
        <w:t xml:space="preserve">: </w:t>
      </w:r>
      <w:r w:rsidR="00CB1491" w:rsidRPr="0050035B">
        <w:rPr>
          <w:rFonts w:ascii="Century Gothic" w:hAnsi="Century Gothic"/>
          <w:sz w:val="20"/>
          <w:lang w:val="es-MX"/>
        </w:rPr>
        <w:t>Elaboración propia, 202</w:t>
      </w:r>
      <w:r w:rsidR="00C95B5B">
        <w:rPr>
          <w:rFonts w:ascii="Century Gothic" w:hAnsi="Century Gothic"/>
          <w:sz w:val="20"/>
          <w:lang w:val="es-MX"/>
        </w:rPr>
        <w:t>1</w:t>
      </w:r>
      <w:r w:rsidRPr="0050035B">
        <w:rPr>
          <w:rFonts w:ascii="Century Gothic" w:hAnsi="Century Gothic"/>
          <w:sz w:val="20"/>
          <w:lang w:val="es-MX"/>
        </w:rPr>
        <w:t>.</w:t>
      </w:r>
    </w:p>
    <w:p w:rsidR="008A36BD" w:rsidRPr="0050035B" w:rsidRDefault="008A36BD" w:rsidP="008A36BD">
      <w:pPr>
        <w:tabs>
          <w:tab w:val="left" w:pos="8789"/>
        </w:tabs>
        <w:ind w:right="26"/>
        <w:rPr>
          <w:rFonts w:ascii="Century Gothic" w:hAnsi="Century Gothic"/>
          <w:b/>
          <w:sz w:val="22"/>
          <w:szCs w:val="22"/>
          <w:lang w:val="es-MX"/>
        </w:rPr>
      </w:pPr>
    </w:p>
    <w:p w:rsidR="00C95B5B" w:rsidRDefault="00C95B5B" w:rsidP="007A2622">
      <w:pPr>
        <w:spacing w:line="360" w:lineRule="auto"/>
        <w:ind w:firstLine="720"/>
        <w:jc w:val="both"/>
        <w:rPr>
          <w:rFonts w:ascii="Century Gothic" w:hAnsi="Century Gothic"/>
          <w:lang w:val="es-MX"/>
        </w:rPr>
      </w:pPr>
      <w:r>
        <w:rPr>
          <w:rFonts w:ascii="Century Gothic" w:hAnsi="Century Gothic"/>
          <w:lang w:val="es-MX"/>
        </w:rPr>
        <w:lastRenderedPageBreak/>
        <w:t xml:space="preserve">Se espera que para el 2022, la economía </w:t>
      </w:r>
      <w:r w:rsidR="005D377D">
        <w:rPr>
          <w:rFonts w:ascii="Century Gothic" w:hAnsi="Century Gothic"/>
          <w:lang w:val="es-MX"/>
        </w:rPr>
        <w:t>a nivel internacional y local mejore. S</w:t>
      </w:r>
      <w:r>
        <w:rPr>
          <w:rFonts w:ascii="Century Gothic" w:hAnsi="Century Gothic"/>
          <w:lang w:val="es-MX"/>
        </w:rPr>
        <w:t xml:space="preserve">in </w:t>
      </w:r>
      <w:r w:rsidR="005D377D">
        <w:rPr>
          <w:rFonts w:ascii="Century Gothic" w:hAnsi="Century Gothic"/>
          <w:lang w:val="es-MX"/>
        </w:rPr>
        <w:t>embargo, es posible que los niveles de ingresos municipales se mantengan con un incremento exiguo hasta pasado el año 2024.</w:t>
      </w:r>
    </w:p>
    <w:p w:rsidR="006A6AC0" w:rsidRPr="0050035B" w:rsidRDefault="006A6AC0" w:rsidP="00546EAE">
      <w:pPr>
        <w:jc w:val="both"/>
        <w:rPr>
          <w:rFonts w:ascii="Century Gothic" w:hAnsi="Century Gothic"/>
          <w:b/>
          <w:lang w:val="es-MX"/>
        </w:rPr>
      </w:pPr>
    </w:p>
    <w:p w:rsidR="000A515C" w:rsidRPr="0050035B" w:rsidRDefault="00E17F3E" w:rsidP="00C46BA0">
      <w:pPr>
        <w:spacing w:line="360" w:lineRule="auto"/>
        <w:jc w:val="both"/>
        <w:rPr>
          <w:rFonts w:ascii="Century Gothic" w:eastAsiaTheme="minorHAnsi" w:hAnsi="Century Gothic"/>
          <w:b/>
          <w:lang w:val="es-MX"/>
        </w:rPr>
      </w:pPr>
      <w:r w:rsidRPr="0050035B">
        <w:rPr>
          <w:rFonts w:ascii="Century Gothic" w:eastAsiaTheme="minorHAnsi" w:hAnsi="Century Gothic"/>
          <w:b/>
          <w:lang w:val="es-MX"/>
        </w:rPr>
        <w:t>3.</w:t>
      </w:r>
      <w:r w:rsidR="00B9107D">
        <w:rPr>
          <w:rFonts w:ascii="Century Gothic" w:eastAsiaTheme="minorHAnsi" w:hAnsi="Century Gothic"/>
          <w:b/>
          <w:lang w:val="es-MX"/>
        </w:rPr>
        <w:t>5</w:t>
      </w:r>
      <w:r w:rsidR="000D24A0" w:rsidRPr="0050035B">
        <w:rPr>
          <w:rFonts w:ascii="Century Gothic" w:eastAsiaTheme="minorHAnsi" w:hAnsi="Century Gothic"/>
          <w:b/>
          <w:lang w:val="es-MX"/>
        </w:rPr>
        <w:t>.</w:t>
      </w:r>
      <w:r w:rsidR="000A515C" w:rsidRPr="0050035B">
        <w:rPr>
          <w:rFonts w:ascii="Century Gothic" w:eastAsiaTheme="minorHAnsi" w:hAnsi="Century Gothic"/>
          <w:b/>
          <w:lang w:val="es-MX"/>
        </w:rPr>
        <w:t xml:space="preserve"> Premisas </w:t>
      </w:r>
      <w:r w:rsidR="008F203D" w:rsidRPr="0050035B">
        <w:rPr>
          <w:rFonts w:ascii="Century Gothic" w:eastAsiaTheme="minorHAnsi" w:hAnsi="Century Gothic"/>
          <w:b/>
          <w:lang w:val="es-MX"/>
        </w:rPr>
        <w:t>e Indicadores de Política E</w:t>
      </w:r>
      <w:r w:rsidR="00FF7CE4" w:rsidRPr="0050035B">
        <w:rPr>
          <w:rFonts w:ascii="Century Gothic" w:eastAsiaTheme="minorHAnsi" w:hAnsi="Century Gothic"/>
          <w:b/>
          <w:lang w:val="es-MX"/>
        </w:rPr>
        <w:t>conómica a considerar para las proyecciones presupuestales de ingresos</w:t>
      </w:r>
    </w:p>
    <w:p w:rsidR="0024110C" w:rsidRDefault="005D377D" w:rsidP="007B0C1A">
      <w:pPr>
        <w:spacing w:line="360" w:lineRule="auto"/>
        <w:jc w:val="both"/>
        <w:rPr>
          <w:rFonts w:ascii="Century Gothic" w:hAnsi="Century Gothic"/>
          <w:lang w:val="es-MX"/>
        </w:rPr>
      </w:pPr>
      <w:r>
        <w:rPr>
          <w:rFonts w:ascii="Century Gothic" w:hAnsi="Century Gothic"/>
        </w:rPr>
        <w:t>La elaboración de las diversas proyecciones que se presentan a lo largo de este documento, se realiza una base teórica y metodológica, que se fundamenta con los argumentos respecto al entorno económico, así como el marco jurídico y el a</w:t>
      </w:r>
      <w:r w:rsidRPr="00993079">
        <w:rPr>
          <w:rFonts w:ascii="Century Gothic" w:hAnsi="Century Gothic"/>
        </w:rPr>
        <w:t xml:space="preserve">nálisis histórico de los </w:t>
      </w:r>
      <w:r>
        <w:rPr>
          <w:rFonts w:ascii="Century Gothic" w:hAnsi="Century Gothic"/>
        </w:rPr>
        <w:t>ingresos, temas expuestos en las primeras secciones de este documento</w:t>
      </w:r>
      <w:r w:rsidRPr="00993079">
        <w:rPr>
          <w:rFonts w:ascii="Century Gothic" w:hAnsi="Century Gothic"/>
        </w:rPr>
        <w:t xml:space="preserve">, </w:t>
      </w:r>
      <w:r>
        <w:rPr>
          <w:rFonts w:ascii="Century Gothic" w:hAnsi="Century Gothic"/>
        </w:rPr>
        <w:t xml:space="preserve">así como </w:t>
      </w:r>
      <w:r w:rsidRPr="00993079">
        <w:rPr>
          <w:rFonts w:ascii="Century Gothic" w:hAnsi="Century Gothic"/>
        </w:rPr>
        <w:t xml:space="preserve">los indicador, criterios y premisas establecidos dentro de los </w:t>
      </w:r>
      <w:r>
        <w:rPr>
          <w:rFonts w:ascii="Century Gothic" w:hAnsi="Century Gothic"/>
        </w:rPr>
        <w:t>CGPE</w:t>
      </w:r>
      <w:r w:rsidR="007B0C1A">
        <w:rPr>
          <w:rFonts w:ascii="Century Gothic" w:hAnsi="Century Gothic"/>
        </w:rPr>
        <w:t xml:space="preserve"> que a continuación se exponen en la tabla 3.4.</w:t>
      </w:r>
    </w:p>
    <w:p w:rsidR="007A2622" w:rsidRPr="0050035B" w:rsidRDefault="00D82B93" w:rsidP="00FF7CE4">
      <w:pPr>
        <w:jc w:val="center"/>
        <w:rPr>
          <w:rFonts w:ascii="Century Gothic" w:hAnsi="Century Gothic"/>
          <w:sz w:val="22"/>
          <w:szCs w:val="22"/>
          <w:lang w:val="es-MX"/>
        </w:rPr>
      </w:pPr>
      <w:r w:rsidRPr="0050035B">
        <w:rPr>
          <w:rFonts w:ascii="Century Gothic" w:hAnsi="Century Gothic"/>
          <w:b/>
          <w:sz w:val="22"/>
          <w:szCs w:val="22"/>
          <w:lang w:val="es-MX"/>
        </w:rPr>
        <w:t>Tabla. 3.</w:t>
      </w:r>
      <w:r w:rsidR="00067533" w:rsidRPr="0050035B">
        <w:rPr>
          <w:rFonts w:ascii="Century Gothic" w:hAnsi="Century Gothic"/>
          <w:b/>
          <w:sz w:val="22"/>
          <w:szCs w:val="22"/>
          <w:lang w:val="es-MX"/>
        </w:rPr>
        <w:t>4</w:t>
      </w:r>
      <w:r w:rsidR="00DF31E3" w:rsidRPr="0050035B">
        <w:rPr>
          <w:rFonts w:ascii="Century Gothic" w:hAnsi="Century Gothic"/>
          <w:b/>
          <w:sz w:val="22"/>
          <w:szCs w:val="22"/>
          <w:lang w:val="es-MX"/>
        </w:rPr>
        <w:t>.</w:t>
      </w:r>
      <w:r w:rsidR="00E74090" w:rsidRPr="0050035B">
        <w:rPr>
          <w:rFonts w:ascii="Century Gothic" w:hAnsi="Century Gothic"/>
          <w:b/>
          <w:sz w:val="22"/>
          <w:szCs w:val="22"/>
          <w:lang w:val="es-MX"/>
        </w:rPr>
        <w:t xml:space="preserve"> </w:t>
      </w:r>
      <w:r w:rsidR="00E74090" w:rsidRPr="0050035B">
        <w:rPr>
          <w:rFonts w:ascii="Century Gothic" w:hAnsi="Century Gothic"/>
          <w:sz w:val="22"/>
          <w:szCs w:val="22"/>
          <w:lang w:val="es-MX"/>
        </w:rPr>
        <w:t xml:space="preserve">Principales indicadores macroeconómicos </w:t>
      </w:r>
    </w:p>
    <w:p w:rsidR="00E74090" w:rsidRPr="0050035B" w:rsidRDefault="00C84983" w:rsidP="00FF7CE4">
      <w:pPr>
        <w:jc w:val="center"/>
        <w:rPr>
          <w:rFonts w:ascii="Century Gothic" w:hAnsi="Century Gothic"/>
          <w:sz w:val="22"/>
          <w:szCs w:val="22"/>
          <w:lang w:val="es-MX"/>
        </w:rPr>
      </w:pPr>
      <w:r w:rsidRPr="0050035B">
        <w:rPr>
          <w:rFonts w:ascii="Century Gothic" w:hAnsi="Century Gothic"/>
          <w:sz w:val="22"/>
          <w:szCs w:val="22"/>
          <w:lang w:val="es-MX"/>
        </w:rPr>
        <w:t>señalado señalados en los CGPE 202</w:t>
      </w:r>
      <w:r w:rsidR="00BF5C57" w:rsidRPr="0050035B">
        <w:rPr>
          <w:rFonts w:ascii="Century Gothic" w:hAnsi="Century Gothic"/>
          <w:sz w:val="22"/>
          <w:szCs w:val="22"/>
          <w:lang w:val="es-MX"/>
        </w:rPr>
        <w:t>1</w:t>
      </w:r>
      <w:r w:rsidR="00B0743D" w:rsidRPr="0050035B">
        <w:rPr>
          <w:rFonts w:ascii="Century Gothic" w:hAnsi="Century Gothic"/>
          <w:sz w:val="22"/>
          <w:szCs w:val="22"/>
          <w:lang w:val="es-MX"/>
        </w:rPr>
        <w:t>.</w:t>
      </w:r>
    </w:p>
    <w:tbl>
      <w:tblPr>
        <w:tblStyle w:val="Tablaconcuadrcula"/>
        <w:tblW w:w="0" w:type="auto"/>
        <w:jc w:val="center"/>
        <w:tblLook w:val="04A0" w:firstRow="1" w:lastRow="0" w:firstColumn="1" w:lastColumn="0" w:noHBand="0" w:noVBand="1"/>
      </w:tblPr>
      <w:tblGrid>
        <w:gridCol w:w="4074"/>
        <w:gridCol w:w="3533"/>
      </w:tblGrid>
      <w:tr w:rsidR="00FF7CE4" w:rsidRPr="0050035B" w:rsidTr="00E44364">
        <w:trPr>
          <w:trHeight w:val="642"/>
          <w:jc w:val="center"/>
        </w:trPr>
        <w:tc>
          <w:tcPr>
            <w:tcW w:w="4074" w:type="dxa"/>
            <w:shd w:val="clear" w:color="auto" w:fill="FABF8F" w:themeFill="accent6" w:themeFillTint="99"/>
            <w:vAlign w:val="bottom"/>
          </w:tcPr>
          <w:p w:rsidR="00FF7CE4" w:rsidRPr="00E44364" w:rsidRDefault="00FF7CE4" w:rsidP="00755F13">
            <w:pPr>
              <w:spacing w:line="360" w:lineRule="auto"/>
              <w:jc w:val="center"/>
              <w:rPr>
                <w:rFonts w:ascii="Century Gothic" w:hAnsi="Century Gothic"/>
                <w:b/>
                <w:color w:val="000000" w:themeColor="text1"/>
                <w:sz w:val="20"/>
                <w:szCs w:val="20"/>
              </w:rPr>
            </w:pPr>
            <w:r w:rsidRPr="00E44364">
              <w:rPr>
                <w:rFonts w:ascii="Century Gothic" w:hAnsi="Century Gothic"/>
                <w:b/>
                <w:color w:val="000000" w:themeColor="text1"/>
                <w:sz w:val="20"/>
                <w:szCs w:val="20"/>
              </w:rPr>
              <w:t>Indicador</w:t>
            </w:r>
          </w:p>
        </w:tc>
        <w:tc>
          <w:tcPr>
            <w:tcW w:w="3533" w:type="dxa"/>
            <w:shd w:val="clear" w:color="auto" w:fill="FABF8F" w:themeFill="accent6" w:themeFillTint="99"/>
            <w:vAlign w:val="bottom"/>
          </w:tcPr>
          <w:p w:rsidR="00FF7CE4" w:rsidRPr="00E44364" w:rsidRDefault="003F69D2" w:rsidP="00755F13">
            <w:pPr>
              <w:spacing w:line="360" w:lineRule="auto"/>
              <w:jc w:val="center"/>
              <w:rPr>
                <w:rFonts w:ascii="Century Gothic" w:hAnsi="Century Gothic"/>
                <w:b/>
                <w:color w:val="000000" w:themeColor="text1"/>
                <w:sz w:val="20"/>
                <w:szCs w:val="20"/>
              </w:rPr>
            </w:pPr>
            <w:r w:rsidRPr="00E44364">
              <w:rPr>
                <w:rFonts w:ascii="Century Gothic" w:hAnsi="Century Gothic"/>
                <w:b/>
                <w:color w:val="000000" w:themeColor="text1"/>
                <w:sz w:val="20"/>
                <w:szCs w:val="20"/>
              </w:rPr>
              <w:t>Precio/Monto/P</w:t>
            </w:r>
            <w:r w:rsidR="00FF7CE4" w:rsidRPr="00E44364">
              <w:rPr>
                <w:rFonts w:ascii="Century Gothic" w:hAnsi="Century Gothic"/>
                <w:b/>
                <w:color w:val="000000" w:themeColor="text1"/>
                <w:sz w:val="20"/>
                <w:szCs w:val="20"/>
              </w:rPr>
              <w:t>orcentaje</w:t>
            </w:r>
          </w:p>
        </w:tc>
      </w:tr>
      <w:tr w:rsidR="00CB1491" w:rsidRPr="0050035B" w:rsidTr="007B0C1A">
        <w:trPr>
          <w:trHeight w:val="430"/>
          <w:jc w:val="center"/>
        </w:trPr>
        <w:tc>
          <w:tcPr>
            <w:tcW w:w="4074" w:type="dxa"/>
            <w:vAlign w:val="center"/>
          </w:tcPr>
          <w:p w:rsidR="00CB1491" w:rsidRPr="007B0C1A" w:rsidRDefault="00CB1491" w:rsidP="00CB1491">
            <w:pPr>
              <w:jc w:val="center"/>
              <w:rPr>
                <w:rFonts w:ascii="Century Gothic" w:hAnsi="Century Gothic"/>
                <w:sz w:val="20"/>
                <w:szCs w:val="20"/>
              </w:rPr>
            </w:pPr>
            <w:r w:rsidRPr="007B0C1A">
              <w:rPr>
                <w:rFonts w:ascii="Century Gothic" w:hAnsi="Century Gothic"/>
                <w:sz w:val="20"/>
                <w:szCs w:val="20"/>
              </w:rPr>
              <w:t>Precio promedio de dólares por barril de petróleo (Dpb).</w:t>
            </w:r>
          </w:p>
        </w:tc>
        <w:tc>
          <w:tcPr>
            <w:tcW w:w="3533" w:type="dxa"/>
            <w:vAlign w:val="center"/>
          </w:tcPr>
          <w:p w:rsidR="00CB1491" w:rsidRPr="007B0C1A" w:rsidRDefault="008F0A40" w:rsidP="00CB1491">
            <w:pPr>
              <w:jc w:val="center"/>
              <w:rPr>
                <w:rFonts w:ascii="Century Gothic" w:hAnsi="Century Gothic"/>
                <w:sz w:val="20"/>
                <w:szCs w:val="20"/>
              </w:rPr>
            </w:pPr>
            <w:r w:rsidRPr="007B0C1A">
              <w:rPr>
                <w:rFonts w:ascii="Century Gothic" w:hAnsi="Century Gothic"/>
                <w:sz w:val="20"/>
                <w:szCs w:val="20"/>
              </w:rPr>
              <w:t xml:space="preserve">55.1 </w:t>
            </w:r>
            <w:r w:rsidR="00CB1491" w:rsidRPr="007B0C1A">
              <w:rPr>
                <w:rFonts w:ascii="Century Gothic" w:hAnsi="Century Gothic"/>
                <w:sz w:val="20"/>
                <w:szCs w:val="20"/>
              </w:rPr>
              <w:t>DpB</w:t>
            </w:r>
          </w:p>
        </w:tc>
      </w:tr>
      <w:tr w:rsidR="00CB1491" w:rsidRPr="0050035B" w:rsidTr="007B0C1A">
        <w:trPr>
          <w:trHeight w:val="566"/>
          <w:jc w:val="center"/>
        </w:trPr>
        <w:tc>
          <w:tcPr>
            <w:tcW w:w="4074" w:type="dxa"/>
            <w:vAlign w:val="center"/>
          </w:tcPr>
          <w:p w:rsidR="00CB1491" w:rsidRPr="007B0C1A" w:rsidRDefault="00CB1491" w:rsidP="0063616F">
            <w:pPr>
              <w:jc w:val="center"/>
              <w:rPr>
                <w:rFonts w:ascii="Century Gothic" w:hAnsi="Century Gothic"/>
                <w:sz w:val="20"/>
                <w:szCs w:val="20"/>
              </w:rPr>
            </w:pPr>
            <w:r w:rsidRPr="007B0C1A">
              <w:rPr>
                <w:rFonts w:ascii="Century Gothic" w:hAnsi="Century Gothic"/>
                <w:sz w:val="20"/>
                <w:szCs w:val="20"/>
              </w:rPr>
              <w:t xml:space="preserve">Plataforma de Producción </w:t>
            </w:r>
            <w:r w:rsidR="0063616F" w:rsidRPr="007B0C1A">
              <w:rPr>
                <w:rFonts w:ascii="Century Gothic" w:hAnsi="Century Gothic"/>
                <w:sz w:val="20"/>
                <w:szCs w:val="20"/>
              </w:rPr>
              <w:t>de Crudo Total</w:t>
            </w:r>
            <w:r w:rsidRPr="007B0C1A">
              <w:rPr>
                <w:rFonts w:ascii="Century Gothic" w:hAnsi="Century Gothic"/>
                <w:sz w:val="20"/>
                <w:szCs w:val="20"/>
              </w:rPr>
              <w:t xml:space="preserve"> (mbd)</w:t>
            </w:r>
          </w:p>
        </w:tc>
        <w:tc>
          <w:tcPr>
            <w:tcW w:w="3533" w:type="dxa"/>
            <w:vAlign w:val="center"/>
          </w:tcPr>
          <w:p w:rsidR="00CB1491" w:rsidRPr="007B0C1A" w:rsidRDefault="008F0A40" w:rsidP="00CB1491">
            <w:pPr>
              <w:jc w:val="center"/>
              <w:rPr>
                <w:rFonts w:ascii="Century Gothic" w:hAnsi="Century Gothic"/>
                <w:sz w:val="20"/>
                <w:szCs w:val="20"/>
              </w:rPr>
            </w:pPr>
            <w:r w:rsidRPr="007B0C1A">
              <w:rPr>
                <w:rFonts w:ascii="Century Gothic" w:hAnsi="Century Gothic"/>
                <w:sz w:val="20"/>
                <w:szCs w:val="20"/>
              </w:rPr>
              <w:t>1,826</w:t>
            </w:r>
          </w:p>
        </w:tc>
      </w:tr>
      <w:tr w:rsidR="0063616F" w:rsidRPr="0050035B" w:rsidTr="007B0C1A">
        <w:trPr>
          <w:trHeight w:val="561"/>
          <w:jc w:val="center"/>
        </w:trPr>
        <w:tc>
          <w:tcPr>
            <w:tcW w:w="4074" w:type="dxa"/>
            <w:vAlign w:val="center"/>
          </w:tcPr>
          <w:p w:rsidR="0063616F" w:rsidRPr="007B0C1A" w:rsidRDefault="0063616F" w:rsidP="0063616F">
            <w:pPr>
              <w:jc w:val="center"/>
              <w:rPr>
                <w:rFonts w:ascii="Century Gothic" w:hAnsi="Century Gothic"/>
                <w:sz w:val="20"/>
                <w:szCs w:val="20"/>
              </w:rPr>
            </w:pPr>
            <w:r w:rsidRPr="007B0C1A">
              <w:rPr>
                <w:rFonts w:ascii="Century Gothic" w:hAnsi="Century Gothic"/>
                <w:sz w:val="20"/>
                <w:szCs w:val="20"/>
              </w:rPr>
              <w:t>Plataforma de Exportación de Crudo (mbd)</w:t>
            </w:r>
          </w:p>
        </w:tc>
        <w:tc>
          <w:tcPr>
            <w:tcW w:w="3533" w:type="dxa"/>
            <w:vAlign w:val="center"/>
          </w:tcPr>
          <w:p w:rsidR="0063616F" w:rsidRPr="007B0C1A" w:rsidRDefault="008F0A40" w:rsidP="0063616F">
            <w:pPr>
              <w:jc w:val="center"/>
              <w:rPr>
                <w:rFonts w:ascii="Century Gothic" w:hAnsi="Century Gothic"/>
                <w:sz w:val="20"/>
                <w:szCs w:val="20"/>
              </w:rPr>
            </w:pPr>
            <w:r w:rsidRPr="007B0C1A">
              <w:rPr>
                <w:rFonts w:ascii="Century Gothic" w:hAnsi="Century Gothic"/>
                <w:sz w:val="20"/>
                <w:szCs w:val="20"/>
              </w:rPr>
              <w:t>979</w:t>
            </w:r>
          </w:p>
        </w:tc>
      </w:tr>
      <w:tr w:rsidR="008F0A40" w:rsidRPr="0050035B" w:rsidTr="007B0C1A">
        <w:trPr>
          <w:trHeight w:val="697"/>
          <w:jc w:val="center"/>
        </w:trPr>
        <w:tc>
          <w:tcPr>
            <w:tcW w:w="4074" w:type="dxa"/>
            <w:vAlign w:val="center"/>
          </w:tcPr>
          <w:p w:rsidR="008F0A40" w:rsidRPr="007B0C1A" w:rsidRDefault="008F0A40" w:rsidP="008F0A40">
            <w:pPr>
              <w:jc w:val="center"/>
              <w:rPr>
                <w:rFonts w:ascii="Century Gothic" w:hAnsi="Century Gothic"/>
                <w:sz w:val="20"/>
                <w:szCs w:val="20"/>
              </w:rPr>
            </w:pPr>
            <w:r w:rsidRPr="007B0C1A">
              <w:rPr>
                <w:rFonts w:ascii="Century Gothic" w:hAnsi="Century Gothic"/>
                <w:sz w:val="20"/>
                <w:szCs w:val="20"/>
              </w:rPr>
              <w:t>Porcentaje de crecimiento de Producto Interno Bruto (PIB)</w:t>
            </w:r>
          </w:p>
        </w:tc>
        <w:tc>
          <w:tcPr>
            <w:tcW w:w="3533" w:type="dxa"/>
          </w:tcPr>
          <w:p w:rsidR="008F0A40" w:rsidRPr="007B0C1A" w:rsidRDefault="008F0A40" w:rsidP="008F0A40">
            <w:pPr>
              <w:jc w:val="center"/>
              <w:rPr>
                <w:rFonts w:ascii="Century Gothic" w:hAnsi="Century Gothic"/>
                <w:sz w:val="20"/>
                <w:szCs w:val="20"/>
              </w:rPr>
            </w:pPr>
            <w:r w:rsidRPr="007B0C1A">
              <w:rPr>
                <w:rFonts w:ascii="Century Gothic" w:hAnsi="Century Gothic"/>
                <w:sz w:val="20"/>
                <w:szCs w:val="20"/>
              </w:rPr>
              <w:t>4.1%</w:t>
            </w:r>
          </w:p>
        </w:tc>
      </w:tr>
      <w:tr w:rsidR="008F0A40" w:rsidRPr="0050035B" w:rsidTr="008C6E0F">
        <w:trPr>
          <w:trHeight w:val="70"/>
          <w:jc w:val="center"/>
        </w:trPr>
        <w:tc>
          <w:tcPr>
            <w:tcW w:w="4074" w:type="dxa"/>
            <w:vAlign w:val="center"/>
          </w:tcPr>
          <w:p w:rsidR="008F0A40" w:rsidRPr="007B0C1A" w:rsidRDefault="008F0A40" w:rsidP="008F0A40">
            <w:pPr>
              <w:jc w:val="center"/>
              <w:rPr>
                <w:rFonts w:ascii="Century Gothic" w:hAnsi="Century Gothic"/>
                <w:sz w:val="20"/>
                <w:szCs w:val="20"/>
              </w:rPr>
            </w:pPr>
            <w:r w:rsidRPr="007B0C1A">
              <w:rPr>
                <w:rFonts w:ascii="Century Gothic" w:hAnsi="Century Gothic"/>
                <w:sz w:val="20"/>
                <w:szCs w:val="20"/>
              </w:rPr>
              <w:t xml:space="preserve">Inflación </w:t>
            </w:r>
          </w:p>
          <w:p w:rsidR="008F0A40" w:rsidRPr="007B0C1A" w:rsidRDefault="008F0A40" w:rsidP="008F0A40">
            <w:pPr>
              <w:jc w:val="center"/>
              <w:rPr>
                <w:rFonts w:ascii="Century Gothic" w:hAnsi="Century Gothic"/>
                <w:sz w:val="20"/>
                <w:szCs w:val="20"/>
              </w:rPr>
            </w:pPr>
            <w:r w:rsidRPr="007B0C1A">
              <w:rPr>
                <w:rFonts w:ascii="Century Gothic" w:hAnsi="Century Gothic"/>
                <w:sz w:val="20"/>
                <w:szCs w:val="20"/>
              </w:rPr>
              <w:t>(Crecimiento porcentual)</w:t>
            </w:r>
          </w:p>
        </w:tc>
        <w:tc>
          <w:tcPr>
            <w:tcW w:w="3533" w:type="dxa"/>
          </w:tcPr>
          <w:p w:rsidR="008F0A40" w:rsidRPr="007B0C1A" w:rsidRDefault="008F0A40" w:rsidP="008F0A40">
            <w:pPr>
              <w:jc w:val="center"/>
              <w:rPr>
                <w:rFonts w:ascii="Century Gothic" w:hAnsi="Century Gothic"/>
                <w:sz w:val="20"/>
                <w:szCs w:val="20"/>
              </w:rPr>
            </w:pPr>
            <w:r w:rsidRPr="007B0C1A">
              <w:rPr>
                <w:rFonts w:ascii="Century Gothic" w:hAnsi="Century Gothic"/>
                <w:sz w:val="20"/>
                <w:szCs w:val="20"/>
              </w:rPr>
              <w:t>4.1%</w:t>
            </w:r>
          </w:p>
        </w:tc>
      </w:tr>
      <w:tr w:rsidR="008F0A40" w:rsidRPr="0050035B" w:rsidTr="008C6E0F">
        <w:trPr>
          <w:trHeight w:val="554"/>
          <w:jc w:val="center"/>
        </w:trPr>
        <w:tc>
          <w:tcPr>
            <w:tcW w:w="4074" w:type="dxa"/>
            <w:vAlign w:val="center"/>
          </w:tcPr>
          <w:p w:rsidR="008F0A40" w:rsidRPr="007B0C1A" w:rsidRDefault="008F0A40" w:rsidP="008F0A40">
            <w:pPr>
              <w:jc w:val="center"/>
              <w:rPr>
                <w:rFonts w:ascii="Century Gothic" w:hAnsi="Century Gothic"/>
                <w:sz w:val="20"/>
                <w:szCs w:val="20"/>
              </w:rPr>
            </w:pPr>
            <w:r w:rsidRPr="007B0C1A">
              <w:rPr>
                <w:rFonts w:ascii="Century Gothic" w:hAnsi="Century Gothic"/>
                <w:sz w:val="20"/>
                <w:szCs w:val="20"/>
              </w:rPr>
              <w:t xml:space="preserve">Tipo de Cambio </w:t>
            </w:r>
          </w:p>
          <w:p w:rsidR="008F0A40" w:rsidRPr="007B0C1A" w:rsidRDefault="008F0A40" w:rsidP="008F0A40">
            <w:pPr>
              <w:jc w:val="center"/>
              <w:rPr>
                <w:rFonts w:ascii="Century Gothic" w:hAnsi="Century Gothic"/>
                <w:sz w:val="20"/>
                <w:szCs w:val="20"/>
              </w:rPr>
            </w:pPr>
            <w:r w:rsidRPr="007B0C1A">
              <w:rPr>
                <w:rFonts w:ascii="Century Gothic" w:hAnsi="Century Gothic"/>
                <w:sz w:val="20"/>
                <w:szCs w:val="20"/>
              </w:rPr>
              <w:t>(precio del dólar)</w:t>
            </w:r>
          </w:p>
        </w:tc>
        <w:tc>
          <w:tcPr>
            <w:tcW w:w="3533" w:type="dxa"/>
          </w:tcPr>
          <w:p w:rsidR="008F0A40" w:rsidRPr="007B0C1A" w:rsidRDefault="008F0A40" w:rsidP="008F0A40">
            <w:pPr>
              <w:jc w:val="center"/>
              <w:rPr>
                <w:rFonts w:ascii="Century Gothic" w:hAnsi="Century Gothic"/>
                <w:sz w:val="20"/>
                <w:szCs w:val="20"/>
              </w:rPr>
            </w:pPr>
            <w:r w:rsidRPr="007B0C1A">
              <w:rPr>
                <w:rFonts w:ascii="Century Gothic" w:hAnsi="Century Gothic"/>
                <w:sz w:val="20"/>
                <w:szCs w:val="20"/>
              </w:rPr>
              <w:t>20.3</w:t>
            </w:r>
          </w:p>
        </w:tc>
      </w:tr>
      <w:tr w:rsidR="0063616F" w:rsidRPr="0050035B" w:rsidTr="007B0C1A">
        <w:trPr>
          <w:trHeight w:val="353"/>
          <w:jc w:val="center"/>
        </w:trPr>
        <w:tc>
          <w:tcPr>
            <w:tcW w:w="4074" w:type="dxa"/>
            <w:vAlign w:val="center"/>
          </w:tcPr>
          <w:p w:rsidR="0063616F" w:rsidRPr="007B0C1A" w:rsidRDefault="0063616F" w:rsidP="0063616F">
            <w:pPr>
              <w:jc w:val="center"/>
              <w:rPr>
                <w:rFonts w:ascii="Century Gothic" w:hAnsi="Century Gothic"/>
                <w:sz w:val="20"/>
                <w:szCs w:val="20"/>
              </w:rPr>
            </w:pPr>
            <w:r w:rsidRPr="007B0C1A">
              <w:rPr>
                <w:rFonts w:ascii="Century Gothic" w:hAnsi="Century Gothic"/>
                <w:sz w:val="20"/>
                <w:szCs w:val="20"/>
              </w:rPr>
              <w:t>Tasa de Interés nominal promedio</w:t>
            </w:r>
          </w:p>
        </w:tc>
        <w:tc>
          <w:tcPr>
            <w:tcW w:w="3533" w:type="dxa"/>
            <w:vAlign w:val="center"/>
          </w:tcPr>
          <w:p w:rsidR="0063616F" w:rsidRPr="007B0C1A" w:rsidRDefault="008F0A40" w:rsidP="0063616F">
            <w:pPr>
              <w:jc w:val="center"/>
              <w:rPr>
                <w:rFonts w:ascii="Century Gothic" w:hAnsi="Century Gothic"/>
                <w:sz w:val="20"/>
                <w:szCs w:val="20"/>
              </w:rPr>
            </w:pPr>
            <w:r w:rsidRPr="007B0C1A">
              <w:rPr>
                <w:rFonts w:ascii="Century Gothic" w:hAnsi="Century Gothic"/>
                <w:sz w:val="20"/>
                <w:szCs w:val="20"/>
              </w:rPr>
              <w:t>5</w:t>
            </w:r>
            <w:r w:rsidR="0063616F" w:rsidRPr="007B0C1A">
              <w:rPr>
                <w:rFonts w:ascii="Century Gothic" w:hAnsi="Century Gothic"/>
                <w:sz w:val="20"/>
                <w:szCs w:val="20"/>
              </w:rPr>
              <w:t>%</w:t>
            </w:r>
          </w:p>
        </w:tc>
      </w:tr>
      <w:tr w:rsidR="0063616F" w:rsidRPr="0050035B" w:rsidTr="00011E1A">
        <w:trPr>
          <w:trHeight w:val="554"/>
          <w:jc w:val="center"/>
        </w:trPr>
        <w:tc>
          <w:tcPr>
            <w:tcW w:w="4074" w:type="dxa"/>
            <w:vAlign w:val="center"/>
          </w:tcPr>
          <w:p w:rsidR="0063616F" w:rsidRPr="007B0C1A" w:rsidRDefault="0063616F" w:rsidP="0063616F">
            <w:pPr>
              <w:jc w:val="center"/>
              <w:rPr>
                <w:rFonts w:ascii="Century Gothic" w:hAnsi="Century Gothic"/>
                <w:sz w:val="20"/>
                <w:szCs w:val="20"/>
              </w:rPr>
            </w:pPr>
            <w:r w:rsidRPr="007B0C1A">
              <w:rPr>
                <w:rFonts w:ascii="Century Gothic" w:hAnsi="Century Gothic"/>
                <w:sz w:val="20"/>
                <w:szCs w:val="20"/>
              </w:rPr>
              <w:t>Unidad de Medida y Actualización (UMA)</w:t>
            </w:r>
          </w:p>
        </w:tc>
        <w:tc>
          <w:tcPr>
            <w:tcW w:w="3533" w:type="dxa"/>
            <w:vAlign w:val="center"/>
          </w:tcPr>
          <w:p w:rsidR="0063616F" w:rsidRPr="007B0C1A" w:rsidRDefault="0063616F" w:rsidP="008F0A40">
            <w:pPr>
              <w:jc w:val="center"/>
              <w:rPr>
                <w:rFonts w:ascii="Century Gothic" w:hAnsi="Century Gothic"/>
                <w:sz w:val="20"/>
                <w:szCs w:val="20"/>
                <w:highlight w:val="yellow"/>
              </w:rPr>
            </w:pPr>
            <w:r w:rsidRPr="007B0C1A">
              <w:rPr>
                <w:rFonts w:ascii="Century Gothic" w:eastAsiaTheme="minorEastAsia" w:hAnsi="Century Gothic"/>
                <w:sz w:val="20"/>
                <w:szCs w:val="20"/>
              </w:rPr>
              <w:t>$ 8</w:t>
            </w:r>
            <w:r w:rsidR="008F0A40" w:rsidRPr="007B0C1A">
              <w:rPr>
                <w:rFonts w:ascii="Century Gothic" w:eastAsiaTheme="minorEastAsia" w:hAnsi="Century Gothic"/>
                <w:sz w:val="20"/>
                <w:szCs w:val="20"/>
              </w:rPr>
              <w:t>9.62</w:t>
            </w:r>
            <w:r w:rsidRPr="007B0C1A">
              <w:rPr>
                <w:rStyle w:val="Refdenotaalpie"/>
                <w:rFonts w:ascii="Century Gothic" w:hAnsi="Century Gothic"/>
                <w:sz w:val="20"/>
                <w:szCs w:val="20"/>
              </w:rPr>
              <w:footnoteReference w:id="29"/>
            </w:r>
          </w:p>
        </w:tc>
      </w:tr>
    </w:tbl>
    <w:p w:rsidR="008201DB" w:rsidRPr="0050035B" w:rsidRDefault="008201DB" w:rsidP="008201DB">
      <w:pPr>
        <w:spacing w:line="360" w:lineRule="auto"/>
        <w:ind w:right="26"/>
        <w:jc w:val="center"/>
        <w:rPr>
          <w:rFonts w:ascii="Century Gothic" w:hAnsi="Century Gothic"/>
          <w:sz w:val="20"/>
          <w:szCs w:val="20"/>
          <w:lang w:val="es-MX"/>
        </w:rPr>
      </w:pPr>
      <w:r w:rsidRPr="0050035B">
        <w:rPr>
          <w:rFonts w:ascii="Century Gothic" w:hAnsi="Century Gothic"/>
          <w:b/>
          <w:sz w:val="20"/>
          <w:szCs w:val="20"/>
          <w:lang w:val="es-MX"/>
        </w:rPr>
        <w:t>Fuente</w:t>
      </w:r>
      <w:r w:rsidRPr="0050035B">
        <w:rPr>
          <w:rFonts w:ascii="Century Gothic" w:hAnsi="Century Gothic"/>
          <w:sz w:val="20"/>
          <w:szCs w:val="20"/>
          <w:lang w:val="es-MX"/>
        </w:rPr>
        <w:t>: Elaboración propia con información de SHCP</w:t>
      </w:r>
      <w:r w:rsidR="00A2188E" w:rsidRPr="0050035B">
        <w:rPr>
          <w:rFonts w:ascii="Century Gothic" w:hAnsi="Century Gothic"/>
          <w:sz w:val="20"/>
          <w:szCs w:val="20"/>
          <w:lang w:val="es-MX"/>
        </w:rPr>
        <w:t>, INEGI y BANXICO</w:t>
      </w:r>
      <w:r w:rsidRPr="0050035B">
        <w:rPr>
          <w:rFonts w:ascii="Century Gothic" w:hAnsi="Century Gothic"/>
          <w:sz w:val="20"/>
          <w:szCs w:val="20"/>
          <w:lang w:val="es-MX"/>
        </w:rPr>
        <w:t>, 20</w:t>
      </w:r>
      <w:r w:rsidR="00BF5C57" w:rsidRPr="0050035B">
        <w:rPr>
          <w:rFonts w:ascii="Century Gothic" w:hAnsi="Century Gothic"/>
          <w:sz w:val="20"/>
          <w:szCs w:val="20"/>
          <w:lang w:val="es-MX"/>
        </w:rPr>
        <w:t>2</w:t>
      </w:r>
      <w:r w:rsidR="005D377D">
        <w:rPr>
          <w:rFonts w:ascii="Century Gothic" w:hAnsi="Century Gothic"/>
          <w:sz w:val="20"/>
          <w:szCs w:val="20"/>
          <w:lang w:val="es-MX"/>
        </w:rPr>
        <w:t>1</w:t>
      </w:r>
      <w:r w:rsidRPr="0050035B">
        <w:rPr>
          <w:rFonts w:ascii="Century Gothic" w:hAnsi="Century Gothic"/>
          <w:sz w:val="20"/>
          <w:szCs w:val="20"/>
          <w:lang w:val="es-MX"/>
        </w:rPr>
        <w:t>.</w:t>
      </w:r>
    </w:p>
    <w:p w:rsidR="008F0A40" w:rsidRDefault="007B0C1A" w:rsidP="001D1BB3">
      <w:pPr>
        <w:spacing w:line="360" w:lineRule="auto"/>
        <w:ind w:firstLine="360"/>
        <w:jc w:val="both"/>
        <w:rPr>
          <w:rFonts w:ascii="Century Gothic" w:hAnsi="Century Gothic"/>
          <w:lang w:val="es-MX"/>
        </w:rPr>
      </w:pPr>
      <w:r>
        <w:rPr>
          <w:rFonts w:ascii="Century Gothic" w:hAnsi="Century Gothic"/>
          <w:lang w:val="es-MX"/>
        </w:rPr>
        <w:lastRenderedPageBreak/>
        <w:t>De igual forma</w:t>
      </w:r>
      <w:r w:rsidR="00CF3862" w:rsidRPr="0050035B">
        <w:rPr>
          <w:rFonts w:ascii="Century Gothic" w:hAnsi="Century Gothic"/>
          <w:lang w:val="es-MX"/>
        </w:rPr>
        <w:t>,</w:t>
      </w:r>
      <w:r w:rsidR="00FD7C60" w:rsidRPr="0050035B">
        <w:rPr>
          <w:rFonts w:ascii="Century Gothic" w:hAnsi="Century Gothic"/>
          <w:lang w:val="es-MX"/>
        </w:rPr>
        <w:t xml:space="preserve"> en la tabla 3.</w:t>
      </w:r>
      <w:r w:rsidR="002A14B3" w:rsidRPr="0050035B">
        <w:rPr>
          <w:rFonts w:ascii="Century Gothic" w:hAnsi="Century Gothic"/>
          <w:lang w:val="es-MX"/>
        </w:rPr>
        <w:t>5</w:t>
      </w:r>
      <w:r w:rsidR="007C6E14" w:rsidRPr="0050035B">
        <w:rPr>
          <w:rFonts w:ascii="Century Gothic" w:hAnsi="Century Gothic"/>
          <w:lang w:val="es-MX"/>
        </w:rPr>
        <w:t>, se presenta la e</w:t>
      </w:r>
      <w:r w:rsidR="00FF7CE4" w:rsidRPr="0050035B">
        <w:rPr>
          <w:rFonts w:ascii="Century Gothic" w:hAnsi="Century Gothic"/>
          <w:lang w:val="es-MX"/>
        </w:rPr>
        <w:t xml:space="preserve">volución </w:t>
      </w:r>
      <w:r w:rsidR="007C6E14" w:rsidRPr="0050035B">
        <w:rPr>
          <w:rFonts w:ascii="Century Gothic" w:hAnsi="Century Gothic"/>
          <w:lang w:val="es-MX"/>
        </w:rPr>
        <w:t xml:space="preserve">y proyección </w:t>
      </w:r>
      <w:r w:rsidR="00FF7CE4" w:rsidRPr="0050035B">
        <w:rPr>
          <w:rFonts w:ascii="Century Gothic" w:hAnsi="Century Gothic"/>
          <w:lang w:val="es-MX"/>
        </w:rPr>
        <w:t xml:space="preserve">de los principales indicadores </w:t>
      </w:r>
      <w:r w:rsidR="007C6E14" w:rsidRPr="0050035B">
        <w:rPr>
          <w:rFonts w:ascii="Century Gothic" w:hAnsi="Century Gothic"/>
          <w:lang w:val="es-MX"/>
        </w:rPr>
        <w:t xml:space="preserve">a </w:t>
      </w:r>
      <w:r w:rsidR="00FF7CE4" w:rsidRPr="0050035B">
        <w:rPr>
          <w:rFonts w:ascii="Century Gothic" w:hAnsi="Century Gothic"/>
          <w:lang w:val="es-MX"/>
        </w:rPr>
        <w:t xml:space="preserve">considerar </w:t>
      </w:r>
      <w:r w:rsidR="00FF7CE4" w:rsidRPr="0024110C">
        <w:rPr>
          <w:rFonts w:ascii="Century Gothic" w:hAnsi="Century Gothic"/>
          <w:lang w:val="es-MX"/>
        </w:rPr>
        <w:t>en las proyecciones presupuestales</w:t>
      </w:r>
      <w:r w:rsidR="007C6E14" w:rsidRPr="0024110C">
        <w:rPr>
          <w:rFonts w:ascii="Century Gothic" w:hAnsi="Century Gothic"/>
          <w:lang w:val="es-MX"/>
        </w:rPr>
        <w:t xml:space="preserve">, establecidos en </w:t>
      </w:r>
      <w:r w:rsidR="00B81ABE" w:rsidRPr="0024110C">
        <w:rPr>
          <w:rFonts w:ascii="Century Gothic" w:hAnsi="Century Gothic"/>
          <w:lang w:val="es-MX"/>
        </w:rPr>
        <w:t>consistencia</w:t>
      </w:r>
      <w:r w:rsidR="007C6E14" w:rsidRPr="0024110C">
        <w:rPr>
          <w:rFonts w:ascii="Century Gothic" w:hAnsi="Century Gothic"/>
          <w:lang w:val="es-MX"/>
        </w:rPr>
        <w:t xml:space="preserve"> con datos de la </w:t>
      </w:r>
      <w:r>
        <w:rPr>
          <w:rFonts w:ascii="Century Gothic" w:hAnsi="Century Gothic"/>
          <w:lang w:val="es-MX"/>
        </w:rPr>
        <w:t>SHCP</w:t>
      </w:r>
      <w:r w:rsidR="007C6E14" w:rsidRPr="0024110C">
        <w:rPr>
          <w:rFonts w:ascii="Century Gothic" w:hAnsi="Century Gothic"/>
          <w:lang w:val="es-MX"/>
        </w:rPr>
        <w:t xml:space="preserve"> en los CGPE para cada ejercicio fiscal</w:t>
      </w:r>
      <w:r w:rsidR="008F0A40" w:rsidRPr="0024110C">
        <w:rPr>
          <w:rFonts w:ascii="Century Gothic" w:hAnsi="Century Gothic"/>
          <w:lang w:val="es-MX"/>
        </w:rPr>
        <w:t xml:space="preserve"> señala</w:t>
      </w:r>
      <w:r>
        <w:rPr>
          <w:rFonts w:ascii="Century Gothic" w:hAnsi="Century Gothic"/>
          <w:lang w:val="es-MX"/>
        </w:rPr>
        <w:t>n</w:t>
      </w:r>
      <w:r w:rsidR="008F0A40" w:rsidRPr="0024110C">
        <w:rPr>
          <w:rFonts w:ascii="Century Gothic" w:hAnsi="Century Gothic"/>
          <w:lang w:val="es-MX"/>
        </w:rPr>
        <w:t>do las proyecciones del ejercicio fiscal</w:t>
      </w:r>
      <w:r w:rsidR="008F0A40">
        <w:rPr>
          <w:rFonts w:ascii="Century Gothic" w:hAnsi="Century Gothic"/>
          <w:lang w:val="es-MX"/>
        </w:rPr>
        <w:t xml:space="preserve"> 2022 considerando también</w:t>
      </w:r>
      <w:r w:rsidR="00A2188E" w:rsidRPr="0050035B">
        <w:rPr>
          <w:rFonts w:ascii="Century Gothic" w:hAnsi="Century Gothic"/>
          <w:lang w:val="es-MX"/>
        </w:rPr>
        <w:t xml:space="preserve"> datos del INEG</w:t>
      </w:r>
      <w:r w:rsidR="00993450" w:rsidRPr="0050035B">
        <w:rPr>
          <w:rFonts w:ascii="Century Gothic" w:hAnsi="Century Gothic"/>
          <w:lang w:val="es-MX"/>
        </w:rPr>
        <w:t>I</w:t>
      </w:r>
      <w:r w:rsidR="00A2188E" w:rsidRPr="0050035B">
        <w:rPr>
          <w:rFonts w:ascii="Century Gothic" w:hAnsi="Century Gothic"/>
          <w:lang w:val="es-MX"/>
        </w:rPr>
        <w:t>, y el BANXICO</w:t>
      </w:r>
      <w:r w:rsidR="002A14B3" w:rsidRPr="0050035B">
        <w:rPr>
          <w:rFonts w:ascii="Century Gothic" w:hAnsi="Century Gothic"/>
          <w:lang w:val="es-MX"/>
        </w:rPr>
        <w:t>.</w:t>
      </w:r>
    </w:p>
    <w:p w:rsidR="003B7FEB" w:rsidRPr="0050035B" w:rsidRDefault="00FD7C60" w:rsidP="003B7FEB">
      <w:pPr>
        <w:ind w:firstLine="720"/>
        <w:jc w:val="center"/>
        <w:rPr>
          <w:rFonts w:ascii="Century Gothic" w:hAnsi="Century Gothic"/>
          <w:sz w:val="22"/>
          <w:szCs w:val="22"/>
          <w:lang w:val="es-MX"/>
        </w:rPr>
      </w:pPr>
      <w:r w:rsidRPr="0050035B">
        <w:rPr>
          <w:rFonts w:ascii="Century Gothic" w:hAnsi="Century Gothic"/>
          <w:b/>
          <w:sz w:val="22"/>
          <w:szCs w:val="22"/>
          <w:lang w:val="es-MX"/>
        </w:rPr>
        <w:t>Tabla 3.</w:t>
      </w:r>
      <w:r w:rsidR="002A14B3" w:rsidRPr="0050035B">
        <w:rPr>
          <w:rFonts w:ascii="Century Gothic" w:hAnsi="Century Gothic"/>
          <w:b/>
          <w:sz w:val="22"/>
          <w:szCs w:val="22"/>
          <w:lang w:val="es-MX"/>
        </w:rPr>
        <w:t>5</w:t>
      </w:r>
      <w:r w:rsidR="00DF31E3" w:rsidRPr="0050035B">
        <w:rPr>
          <w:rFonts w:ascii="Century Gothic" w:hAnsi="Century Gothic"/>
          <w:b/>
          <w:sz w:val="22"/>
          <w:szCs w:val="22"/>
          <w:lang w:val="es-MX"/>
        </w:rPr>
        <w:t>.</w:t>
      </w:r>
      <w:r w:rsidR="002818AE" w:rsidRPr="0050035B">
        <w:rPr>
          <w:rFonts w:ascii="Century Gothic" w:hAnsi="Century Gothic"/>
          <w:b/>
          <w:sz w:val="22"/>
          <w:szCs w:val="22"/>
          <w:lang w:val="es-MX"/>
        </w:rPr>
        <w:t xml:space="preserve"> </w:t>
      </w:r>
      <w:r w:rsidR="000804CC" w:rsidRPr="0050035B">
        <w:rPr>
          <w:rFonts w:ascii="Century Gothic" w:hAnsi="Century Gothic"/>
          <w:sz w:val="22"/>
          <w:szCs w:val="22"/>
          <w:lang w:val="es-MX"/>
        </w:rPr>
        <w:t>Principales indicadores de política Económica considerados</w:t>
      </w:r>
      <w:r w:rsidR="003B7FEB" w:rsidRPr="0050035B">
        <w:rPr>
          <w:rFonts w:ascii="Century Gothic" w:hAnsi="Century Gothic"/>
          <w:sz w:val="22"/>
          <w:szCs w:val="22"/>
          <w:lang w:val="es-MX"/>
        </w:rPr>
        <w:t xml:space="preserve"> para las proyecciones (2017-202</w:t>
      </w:r>
      <w:r w:rsidR="008F0A40">
        <w:rPr>
          <w:rFonts w:ascii="Century Gothic" w:hAnsi="Century Gothic"/>
          <w:sz w:val="22"/>
          <w:szCs w:val="22"/>
          <w:lang w:val="es-MX"/>
        </w:rPr>
        <w:t>2</w:t>
      </w:r>
      <w:r w:rsidR="003B7FEB" w:rsidRPr="0050035B">
        <w:rPr>
          <w:rFonts w:ascii="Century Gothic" w:hAnsi="Century Gothic"/>
          <w:sz w:val="22"/>
          <w:szCs w:val="22"/>
          <w:lang w:val="es-MX"/>
        </w:rPr>
        <w:t>).</w:t>
      </w:r>
    </w:p>
    <w:tbl>
      <w:tblPr>
        <w:tblStyle w:val="Tablaconcuadrcula"/>
        <w:tblpPr w:leftFromText="141" w:rightFromText="141" w:vertAnchor="text" w:horzAnchor="page" w:tblpX="1414" w:tblpY="170"/>
        <w:tblW w:w="10172" w:type="dxa"/>
        <w:tblLook w:val="04A0" w:firstRow="1" w:lastRow="0" w:firstColumn="1" w:lastColumn="0" w:noHBand="0" w:noVBand="1"/>
      </w:tblPr>
      <w:tblGrid>
        <w:gridCol w:w="3298"/>
        <w:gridCol w:w="2256"/>
        <w:gridCol w:w="709"/>
        <w:gridCol w:w="878"/>
        <w:gridCol w:w="665"/>
        <w:gridCol w:w="920"/>
        <w:gridCol w:w="1446"/>
      </w:tblGrid>
      <w:tr w:rsidR="003B7FEB" w:rsidRPr="0050035B" w:rsidTr="00E44364">
        <w:trPr>
          <w:trHeight w:val="252"/>
        </w:trPr>
        <w:tc>
          <w:tcPr>
            <w:tcW w:w="0" w:type="auto"/>
            <w:shd w:val="clear" w:color="auto" w:fill="FABF8F" w:themeFill="accent6" w:themeFillTint="99"/>
            <w:vAlign w:val="center"/>
          </w:tcPr>
          <w:p w:rsidR="003B7FEB" w:rsidRPr="00E44364" w:rsidRDefault="003B7FEB" w:rsidP="003B7FEB">
            <w:pPr>
              <w:spacing w:line="360" w:lineRule="auto"/>
              <w:jc w:val="center"/>
              <w:rPr>
                <w:rFonts w:ascii="Century Gothic" w:hAnsi="Century Gothic"/>
                <w:b/>
                <w:color w:val="000000" w:themeColor="text1"/>
                <w:sz w:val="20"/>
                <w:szCs w:val="24"/>
              </w:rPr>
            </w:pPr>
            <w:r w:rsidRPr="00E44364">
              <w:rPr>
                <w:rFonts w:ascii="Century Gothic" w:hAnsi="Century Gothic"/>
                <w:b/>
                <w:color w:val="000000" w:themeColor="text1"/>
                <w:sz w:val="20"/>
                <w:szCs w:val="24"/>
              </w:rPr>
              <w:t>Indicador</w:t>
            </w:r>
          </w:p>
        </w:tc>
        <w:tc>
          <w:tcPr>
            <w:tcW w:w="2256" w:type="dxa"/>
            <w:shd w:val="clear" w:color="auto" w:fill="FABF8F" w:themeFill="accent6" w:themeFillTint="99"/>
            <w:vAlign w:val="center"/>
          </w:tcPr>
          <w:p w:rsidR="003B7FEB" w:rsidRPr="00E44364" w:rsidRDefault="003B7FEB" w:rsidP="008F0A40">
            <w:pPr>
              <w:spacing w:line="360" w:lineRule="auto"/>
              <w:jc w:val="center"/>
              <w:rPr>
                <w:rFonts w:ascii="Century Gothic" w:hAnsi="Century Gothic"/>
                <w:b/>
                <w:color w:val="000000" w:themeColor="text1"/>
                <w:sz w:val="20"/>
              </w:rPr>
            </w:pPr>
            <w:r w:rsidRPr="00E44364">
              <w:rPr>
                <w:rFonts w:ascii="Century Gothic" w:hAnsi="Century Gothic"/>
                <w:b/>
                <w:color w:val="000000" w:themeColor="text1"/>
                <w:sz w:val="20"/>
              </w:rPr>
              <w:t>201</w:t>
            </w:r>
            <w:r w:rsidR="008F0A40" w:rsidRPr="00E44364">
              <w:rPr>
                <w:rFonts w:ascii="Century Gothic" w:hAnsi="Century Gothic"/>
                <w:b/>
                <w:color w:val="000000" w:themeColor="text1"/>
                <w:sz w:val="20"/>
              </w:rPr>
              <w:t>7</w:t>
            </w:r>
          </w:p>
        </w:tc>
        <w:tc>
          <w:tcPr>
            <w:tcW w:w="0" w:type="auto"/>
            <w:shd w:val="clear" w:color="auto" w:fill="FABF8F" w:themeFill="accent6" w:themeFillTint="99"/>
            <w:vAlign w:val="center"/>
          </w:tcPr>
          <w:p w:rsidR="003B7FEB" w:rsidRPr="00E44364" w:rsidRDefault="003B7FEB" w:rsidP="008F0A40">
            <w:pPr>
              <w:spacing w:line="360" w:lineRule="auto"/>
              <w:jc w:val="center"/>
              <w:rPr>
                <w:rFonts w:ascii="Century Gothic" w:hAnsi="Century Gothic"/>
                <w:b/>
                <w:color w:val="000000" w:themeColor="text1"/>
                <w:sz w:val="20"/>
              </w:rPr>
            </w:pPr>
            <w:r w:rsidRPr="00E44364">
              <w:rPr>
                <w:rFonts w:ascii="Century Gothic" w:hAnsi="Century Gothic"/>
                <w:b/>
                <w:color w:val="000000" w:themeColor="text1"/>
                <w:sz w:val="20"/>
              </w:rPr>
              <w:t>201</w:t>
            </w:r>
            <w:r w:rsidR="008F0A40" w:rsidRPr="00E44364">
              <w:rPr>
                <w:rFonts w:ascii="Century Gothic" w:hAnsi="Century Gothic"/>
                <w:b/>
                <w:color w:val="000000" w:themeColor="text1"/>
                <w:sz w:val="20"/>
              </w:rPr>
              <w:t>8</w:t>
            </w:r>
          </w:p>
        </w:tc>
        <w:tc>
          <w:tcPr>
            <w:tcW w:w="878" w:type="dxa"/>
            <w:shd w:val="clear" w:color="auto" w:fill="FABF8F" w:themeFill="accent6" w:themeFillTint="99"/>
            <w:vAlign w:val="center"/>
          </w:tcPr>
          <w:p w:rsidR="003B7FEB" w:rsidRPr="00E44364" w:rsidRDefault="003B7FEB" w:rsidP="008F0A40">
            <w:pPr>
              <w:spacing w:line="360" w:lineRule="auto"/>
              <w:jc w:val="center"/>
              <w:rPr>
                <w:rFonts w:ascii="Century Gothic" w:hAnsi="Century Gothic"/>
                <w:b/>
                <w:color w:val="000000" w:themeColor="text1"/>
                <w:sz w:val="20"/>
              </w:rPr>
            </w:pPr>
            <w:r w:rsidRPr="00E44364">
              <w:rPr>
                <w:rFonts w:ascii="Century Gothic" w:hAnsi="Century Gothic"/>
                <w:b/>
                <w:color w:val="000000" w:themeColor="text1"/>
                <w:sz w:val="20"/>
              </w:rPr>
              <w:t>201</w:t>
            </w:r>
            <w:r w:rsidR="008F0A40" w:rsidRPr="00E44364">
              <w:rPr>
                <w:rFonts w:ascii="Century Gothic" w:hAnsi="Century Gothic"/>
                <w:b/>
                <w:color w:val="000000" w:themeColor="text1"/>
                <w:sz w:val="20"/>
              </w:rPr>
              <w:t>9</w:t>
            </w:r>
          </w:p>
        </w:tc>
        <w:tc>
          <w:tcPr>
            <w:tcW w:w="0" w:type="auto"/>
            <w:shd w:val="clear" w:color="auto" w:fill="FABF8F" w:themeFill="accent6" w:themeFillTint="99"/>
            <w:vAlign w:val="center"/>
          </w:tcPr>
          <w:p w:rsidR="003B7FEB" w:rsidRPr="00E44364" w:rsidRDefault="003B7FEB" w:rsidP="008F0A40">
            <w:pPr>
              <w:spacing w:line="360" w:lineRule="auto"/>
              <w:jc w:val="center"/>
              <w:rPr>
                <w:rFonts w:ascii="Century Gothic" w:hAnsi="Century Gothic"/>
                <w:b/>
                <w:color w:val="000000" w:themeColor="text1"/>
                <w:sz w:val="20"/>
              </w:rPr>
            </w:pPr>
            <w:r w:rsidRPr="00E44364">
              <w:rPr>
                <w:rFonts w:ascii="Century Gothic" w:hAnsi="Century Gothic"/>
                <w:b/>
                <w:color w:val="000000" w:themeColor="text1"/>
                <w:sz w:val="20"/>
              </w:rPr>
              <w:t>20</w:t>
            </w:r>
            <w:r w:rsidR="008F0A40" w:rsidRPr="00E44364">
              <w:rPr>
                <w:rFonts w:ascii="Century Gothic" w:hAnsi="Century Gothic"/>
                <w:b/>
                <w:color w:val="000000" w:themeColor="text1"/>
                <w:sz w:val="20"/>
              </w:rPr>
              <w:t>20</w:t>
            </w:r>
          </w:p>
        </w:tc>
        <w:tc>
          <w:tcPr>
            <w:tcW w:w="0" w:type="auto"/>
            <w:shd w:val="clear" w:color="auto" w:fill="FABF8F" w:themeFill="accent6" w:themeFillTint="99"/>
            <w:vAlign w:val="center"/>
          </w:tcPr>
          <w:p w:rsidR="003B7FEB" w:rsidRPr="00E44364" w:rsidRDefault="003B7FEB" w:rsidP="008F0A40">
            <w:pPr>
              <w:spacing w:line="360" w:lineRule="auto"/>
              <w:jc w:val="center"/>
              <w:rPr>
                <w:rFonts w:ascii="Century Gothic" w:hAnsi="Century Gothic"/>
                <w:b/>
                <w:color w:val="000000" w:themeColor="text1"/>
                <w:sz w:val="20"/>
              </w:rPr>
            </w:pPr>
            <w:r w:rsidRPr="00E44364">
              <w:rPr>
                <w:rFonts w:ascii="Century Gothic" w:hAnsi="Century Gothic"/>
                <w:b/>
                <w:color w:val="000000" w:themeColor="text1"/>
                <w:sz w:val="20"/>
              </w:rPr>
              <w:t>202</w:t>
            </w:r>
            <w:r w:rsidR="008F0A40" w:rsidRPr="00E44364">
              <w:rPr>
                <w:rFonts w:ascii="Century Gothic" w:hAnsi="Century Gothic"/>
                <w:b/>
                <w:color w:val="000000" w:themeColor="text1"/>
                <w:sz w:val="20"/>
              </w:rPr>
              <w:t>1</w:t>
            </w:r>
          </w:p>
        </w:tc>
        <w:tc>
          <w:tcPr>
            <w:tcW w:w="1446" w:type="dxa"/>
            <w:shd w:val="clear" w:color="auto" w:fill="FABF8F" w:themeFill="accent6" w:themeFillTint="99"/>
            <w:vAlign w:val="center"/>
          </w:tcPr>
          <w:p w:rsidR="003B7FEB" w:rsidRPr="0050035B" w:rsidRDefault="003B7FEB" w:rsidP="008F0A40">
            <w:pPr>
              <w:spacing w:line="360" w:lineRule="auto"/>
              <w:jc w:val="center"/>
              <w:rPr>
                <w:rFonts w:ascii="Century Gothic" w:hAnsi="Century Gothic"/>
                <w:b/>
                <w:color w:val="FFFFFF" w:themeColor="background1"/>
                <w:sz w:val="20"/>
              </w:rPr>
            </w:pPr>
            <w:r w:rsidRPr="0050035B">
              <w:rPr>
                <w:rFonts w:ascii="Century Gothic" w:hAnsi="Century Gothic" w:cstheme="minorHAnsi"/>
                <w:b/>
              </w:rPr>
              <w:t>202</w:t>
            </w:r>
            <w:r w:rsidR="008F0A40">
              <w:rPr>
                <w:rFonts w:ascii="Century Gothic" w:hAnsi="Century Gothic" w:cstheme="minorHAnsi"/>
                <w:b/>
              </w:rPr>
              <w:t>2</w:t>
            </w:r>
            <w:r w:rsidRPr="0050035B">
              <w:rPr>
                <w:rStyle w:val="Refdenotaalpie"/>
                <w:rFonts w:ascii="Century Gothic" w:hAnsi="Century Gothic" w:cstheme="minorHAnsi"/>
                <w:b/>
              </w:rPr>
              <w:footnoteReference w:id="30"/>
            </w:r>
          </w:p>
        </w:tc>
      </w:tr>
      <w:tr w:rsidR="008F0A40" w:rsidRPr="0050035B" w:rsidTr="008F0A40">
        <w:trPr>
          <w:trHeight w:val="568"/>
        </w:trPr>
        <w:tc>
          <w:tcPr>
            <w:tcW w:w="0" w:type="auto"/>
            <w:shd w:val="clear" w:color="auto" w:fill="7F7F7F" w:themeFill="text1" w:themeFillTint="80"/>
            <w:vAlign w:val="center"/>
          </w:tcPr>
          <w:p w:rsidR="008F0A40" w:rsidRPr="0050035B" w:rsidRDefault="008F0A40" w:rsidP="008F0A40">
            <w:pPr>
              <w:jc w:val="center"/>
              <w:rPr>
                <w:rFonts w:ascii="Century Gothic" w:hAnsi="Century Gothic"/>
                <w:b/>
                <w:color w:val="FFFFFF" w:themeColor="background1"/>
                <w:sz w:val="20"/>
                <w:szCs w:val="24"/>
              </w:rPr>
            </w:pPr>
            <w:r w:rsidRPr="0050035B">
              <w:rPr>
                <w:rFonts w:ascii="Century Gothic" w:hAnsi="Century Gothic"/>
                <w:b/>
                <w:color w:val="FFFFFF" w:themeColor="background1"/>
                <w:sz w:val="20"/>
              </w:rPr>
              <w:t>Precio promedio del barril de petróleo (dólares por barril)</w:t>
            </w:r>
          </w:p>
        </w:tc>
        <w:tc>
          <w:tcPr>
            <w:tcW w:w="2256" w:type="dxa"/>
            <w:vAlign w:val="center"/>
          </w:tcPr>
          <w:p w:rsidR="008F0A40" w:rsidRPr="0050035B" w:rsidRDefault="008F0A40" w:rsidP="008F0A40">
            <w:pPr>
              <w:spacing w:line="360" w:lineRule="auto"/>
              <w:jc w:val="center"/>
              <w:rPr>
                <w:rFonts w:ascii="Century Gothic" w:hAnsi="Century Gothic"/>
                <w:sz w:val="20"/>
              </w:rPr>
            </w:pPr>
            <w:r w:rsidRPr="0050035B">
              <w:rPr>
                <w:rFonts w:ascii="Century Gothic" w:hAnsi="Century Gothic"/>
                <w:sz w:val="20"/>
              </w:rPr>
              <w:t>42</w:t>
            </w:r>
            <w:r w:rsidRPr="0050035B">
              <w:rPr>
                <w:rStyle w:val="Refdenotaalpie"/>
                <w:rFonts w:ascii="Century Gothic" w:hAnsi="Century Gothic"/>
                <w:sz w:val="20"/>
              </w:rPr>
              <w:footnoteReference w:id="31"/>
            </w:r>
          </w:p>
        </w:tc>
        <w:tc>
          <w:tcPr>
            <w:tcW w:w="0" w:type="auto"/>
            <w:vAlign w:val="center"/>
          </w:tcPr>
          <w:p w:rsidR="008F0A40" w:rsidRPr="0050035B" w:rsidRDefault="008F0A40" w:rsidP="008F0A40">
            <w:pPr>
              <w:spacing w:line="360" w:lineRule="auto"/>
              <w:jc w:val="center"/>
              <w:rPr>
                <w:rFonts w:ascii="Century Gothic" w:hAnsi="Century Gothic"/>
                <w:sz w:val="20"/>
              </w:rPr>
            </w:pPr>
            <w:r w:rsidRPr="0050035B">
              <w:rPr>
                <w:rFonts w:ascii="Century Gothic" w:hAnsi="Century Gothic"/>
                <w:sz w:val="20"/>
              </w:rPr>
              <w:t>46</w:t>
            </w:r>
            <w:r w:rsidRPr="0050035B">
              <w:rPr>
                <w:rStyle w:val="Refdenotaalpie"/>
                <w:rFonts w:ascii="Century Gothic" w:hAnsi="Century Gothic"/>
                <w:sz w:val="20"/>
              </w:rPr>
              <w:footnoteReference w:id="32"/>
            </w:r>
          </w:p>
        </w:tc>
        <w:tc>
          <w:tcPr>
            <w:tcW w:w="878" w:type="dxa"/>
            <w:vAlign w:val="center"/>
          </w:tcPr>
          <w:p w:rsidR="008F0A40" w:rsidRPr="0050035B" w:rsidRDefault="008F0A40" w:rsidP="008F0A40">
            <w:pPr>
              <w:spacing w:line="360" w:lineRule="auto"/>
              <w:jc w:val="center"/>
              <w:rPr>
                <w:rFonts w:ascii="Century Gothic" w:hAnsi="Century Gothic"/>
                <w:sz w:val="20"/>
              </w:rPr>
            </w:pPr>
            <w:r w:rsidRPr="0050035B">
              <w:rPr>
                <w:rFonts w:ascii="Century Gothic" w:hAnsi="Century Gothic"/>
                <w:sz w:val="20"/>
              </w:rPr>
              <w:t>51.6</w:t>
            </w:r>
            <w:r w:rsidRPr="0050035B">
              <w:rPr>
                <w:rStyle w:val="Refdenotaalpie"/>
                <w:rFonts w:ascii="Century Gothic" w:hAnsi="Century Gothic"/>
                <w:sz w:val="20"/>
              </w:rPr>
              <w:footnoteReference w:id="33"/>
            </w:r>
          </w:p>
        </w:tc>
        <w:tc>
          <w:tcPr>
            <w:tcW w:w="0" w:type="auto"/>
            <w:vAlign w:val="center"/>
          </w:tcPr>
          <w:p w:rsidR="008F0A40" w:rsidRPr="0050035B" w:rsidRDefault="008F0A40" w:rsidP="008F0A40">
            <w:pPr>
              <w:spacing w:line="360" w:lineRule="auto"/>
              <w:jc w:val="center"/>
              <w:rPr>
                <w:rFonts w:ascii="Century Gothic" w:hAnsi="Century Gothic"/>
                <w:sz w:val="20"/>
              </w:rPr>
            </w:pPr>
            <w:r w:rsidRPr="0050035B">
              <w:rPr>
                <w:rFonts w:ascii="Century Gothic" w:hAnsi="Century Gothic"/>
                <w:sz w:val="20"/>
                <w:szCs w:val="20"/>
              </w:rPr>
              <w:t>49</w:t>
            </w:r>
            <w:r w:rsidRPr="0050035B">
              <w:rPr>
                <w:rStyle w:val="Refdenotaalpie"/>
                <w:rFonts w:ascii="Century Gothic" w:hAnsi="Century Gothic"/>
                <w:sz w:val="20"/>
                <w:szCs w:val="20"/>
              </w:rPr>
              <w:footnoteReference w:id="34"/>
            </w:r>
          </w:p>
        </w:tc>
        <w:tc>
          <w:tcPr>
            <w:tcW w:w="0" w:type="auto"/>
            <w:vAlign w:val="center"/>
          </w:tcPr>
          <w:p w:rsidR="008F0A40" w:rsidRPr="008F0A40" w:rsidRDefault="008F0A40" w:rsidP="008F0A40">
            <w:pPr>
              <w:spacing w:line="360" w:lineRule="auto"/>
              <w:jc w:val="center"/>
              <w:rPr>
                <w:rFonts w:ascii="Century Gothic" w:hAnsi="Century Gothic"/>
                <w:sz w:val="20"/>
              </w:rPr>
            </w:pPr>
            <w:r w:rsidRPr="008F0A40">
              <w:rPr>
                <w:rFonts w:ascii="Century Gothic" w:hAnsi="Century Gothic" w:cstheme="minorHAnsi"/>
                <w:color w:val="333333"/>
                <w:shd w:val="clear" w:color="auto" w:fill="FFFFFF"/>
              </w:rPr>
              <w:t>42.1</w:t>
            </w:r>
          </w:p>
        </w:tc>
        <w:tc>
          <w:tcPr>
            <w:tcW w:w="1446" w:type="dxa"/>
            <w:vAlign w:val="center"/>
          </w:tcPr>
          <w:p w:rsidR="008F0A40" w:rsidRPr="008F0A40" w:rsidRDefault="008F0A40" w:rsidP="008F0A40">
            <w:pPr>
              <w:spacing w:line="360" w:lineRule="auto"/>
              <w:jc w:val="center"/>
              <w:rPr>
                <w:rFonts w:ascii="Century Gothic" w:hAnsi="Century Gothic" w:cstheme="minorHAnsi"/>
                <w:b/>
                <w:color w:val="333333"/>
                <w:shd w:val="clear" w:color="auto" w:fill="FFFFFF"/>
              </w:rPr>
            </w:pPr>
            <w:r w:rsidRPr="008F0A40">
              <w:rPr>
                <w:rFonts w:ascii="Century Gothic" w:hAnsi="Century Gothic" w:cstheme="minorHAnsi"/>
                <w:b/>
                <w:color w:val="333333"/>
                <w:shd w:val="clear" w:color="auto" w:fill="FFFFFF"/>
              </w:rPr>
              <w:t>55.1</w:t>
            </w:r>
          </w:p>
        </w:tc>
      </w:tr>
      <w:tr w:rsidR="008F0A40" w:rsidRPr="0050035B" w:rsidTr="008F0A40">
        <w:trPr>
          <w:trHeight w:val="420"/>
        </w:trPr>
        <w:tc>
          <w:tcPr>
            <w:tcW w:w="0" w:type="auto"/>
            <w:shd w:val="clear" w:color="auto" w:fill="7F7F7F" w:themeFill="text1" w:themeFillTint="80"/>
            <w:vAlign w:val="center"/>
          </w:tcPr>
          <w:p w:rsidR="008F0A40" w:rsidRPr="0050035B" w:rsidRDefault="008F0A40" w:rsidP="008F0A40">
            <w:pPr>
              <w:jc w:val="center"/>
              <w:rPr>
                <w:rFonts w:ascii="Century Gothic" w:hAnsi="Century Gothic"/>
                <w:b/>
                <w:color w:val="FFFFFF" w:themeColor="background1"/>
                <w:sz w:val="20"/>
                <w:szCs w:val="24"/>
              </w:rPr>
            </w:pPr>
            <w:r w:rsidRPr="0050035B">
              <w:rPr>
                <w:rFonts w:ascii="Century Gothic" w:hAnsi="Century Gothic"/>
                <w:b/>
                <w:color w:val="FFFFFF" w:themeColor="background1"/>
                <w:sz w:val="20"/>
              </w:rPr>
              <w:t>Producto Interno Bruto (Crecimiento)</w:t>
            </w:r>
          </w:p>
        </w:tc>
        <w:tc>
          <w:tcPr>
            <w:tcW w:w="2256" w:type="dxa"/>
            <w:vAlign w:val="center"/>
          </w:tcPr>
          <w:p w:rsidR="008F0A40" w:rsidRPr="0050035B" w:rsidRDefault="008F0A40" w:rsidP="008F0A40">
            <w:pPr>
              <w:spacing w:line="360" w:lineRule="auto"/>
              <w:jc w:val="center"/>
              <w:rPr>
                <w:rFonts w:ascii="Century Gothic" w:hAnsi="Century Gothic"/>
                <w:sz w:val="20"/>
              </w:rPr>
            </w:pPr>
            <w:r w:rsidRPr="0050035B">
              <w:rPr>
                <w:rFonts w:ascii="Century Gothic" w:hAnsi="Century Gothic"/>
                <w:sz w:val="20"/>
              </w:rPr>
              <w:t>2.5%</w:t>
            </w:r>
            <w:r w:rsidRPr="0050035B">
              <w:rPr>
                <w:rStyle w:val="Refdenotaalpie"/>
                <w:rFonts w:ascii="Century Gothic" w:hAnsi="Century Gothic"/>
                <w:sz w:val="20"/>
              </w:rPr>
              <w:footnoteReference w:id="35"/>
            </w:r>
          </w:p>
        </w:tc>
        <w:tc>
          <w:tcPr>
            <w:tcW w:w="0" w:type="auto"/>
            <w:vAlign w:val="center"/>
          </w:tcPr>
          <w:p w:rsidR="008F0A40" w:rsidRPr="0050035B" w:rsidRDefault="008F0A40" w:rsidP="008F0A40">
            <w:pPr>
              <w:spacing w:line="360" w:lineRule="auto"/>
              <w:jc w:val="center"/>
              <w:rPr>
                <w:rFonts w:ascii="Century Gothic" w:hAnsi="Century Gothic"/>
                <w:sz w:val="20"/>
              </w:rPr>
            </w:pPr>
            <w:r w:rsidRPr="0050035B">
              <w:rPr>
                <w:rFonts w:ascii="Century Gothic" w:hAnsi="Century Gothic"/>
                <w:sz w:val="20"/>
              </w:rPr>
              <w:t>2.5</w:t>
            </w:r>
            <w:r w:rsidRPr="0050035B">
              <w:rPr>
                <w:rStyle w:val="Refdenotaalpie"/>
                <w:rFonts w:ascii="Century Gothic" w:hAnsi="Century Gothic"/>
                <w:sz w:val="20"/>
                <w:szCs w:val="24"/>
              </w:rPr>
              <w:footnoteReference w:id="36"/>
            </w:r>
          </w:p>
        </w:tc>
        <w:tc>
          <w:tcPr>
            <w:tcW w:w="878" w:type="dxa"/>
            <w:vAlign w:val="center"/>
          </w:tcPr>
          <w:p w:rsidR="008F0A40" w:rsidRPr="0050035B" w:rsidRDefault="008F0A40" w:rsidP="008F0A40">
            <w:pPr>
              <w:spacing w:line="360" w:lineRule="auto"/>
              <w:jc w:val="center"/>
              <w:rPr>
                <w:rFonts w:ascii="Century Gothic" w:hAnsi="Century Gothic"/>
                <w:sz w:val="20"/>
              </w:rPr>
            </w:pPr>
            <w:r w:rsidRPr="0050035B">
              <w:rPr>
                <w:rFonts w:ascii="Century Gothic" w:hAnsi="Century Gothic"/>
                <w:sz w:val="20"/>
              </w:rPr>
              <w:t>3%</w:t>
            </w:r>
            <w:r w:rsidRPr="0050035B">
              <w:rPr>
                <w:rStyle w:val="Refdenotaalpie"/>
                <w:rFonts w:ascii="Century Gothic" w:hAnsi="Century Gothic"/>
                <w:sz w:val="20"/>
                <w:szCs w:val="24"/>
              </w:rPr>
              <w:footnoteReference w:id="37"/>
            </w:r>
          </w:p>
        </w:tc>
        <w:tc>
          <w:tcPr>
            <w:tcW w:w="0" w:type="auto"/>
            <w:vAlign w:val="center"/>
          </w:tcPr>
          <w:p w:rsidR="008F0A40" w:rsidRPr="0050035B" w:rsidRDefault="008F0A40" w:rsidP="008F0A40">
            <w:pPr>
              <w:spacing w:line="360" w:lineRule="auto"/>
              <w:jc w:val="center"/>
              <w:rPr>
                <w:rFonts w:ascii="Century Gothic" w:hAnsi="Century Gothic"/>
                <w:sz w:val="20"/>
              </w:rPr>
            </w:pPr>
            <w:r w:rsidRPr="0050035B">
              <w:rPr>
                <w:rFonts w:ascii="Century Gothic" w:hAnsi="Century Gothic"/>
                <w:sz w:val="20"/>
                <w:szCs w:val="20"/>
              </w:rPr>
              <w:t>2%</w:t>
            </w:r>
            <w:r w:rsidRPr="0050035B">
              <w:rPr>
                <w:rStyle w:val="Refdenotaalpie"/>
                <w:rFonts w:ascii="Century Gothic" w:hAnsi="Century Gothic"/>
                <w:sz w:val="20"/>
                <w:szCs w:val="20"/>
              </w:rPr>
              <w:footnoteReference w:id="38"/>
            </w:r>
          </w:p>
        </w:tc>
        <w:tc>
          <w:tcPr>
            <w:tcW w:w="0" w:type="auto"/>
            <w:vAlign w:val="center"/>
          </w:tcPr>
          <w:p w:rsidR="008F0A40" w:rsidRPr="008F0A40" w:rsidRDefault="008F0A40" w:rsidP="008F0A40">
            <w:pPr>
              <w:spacing w:line="360" w:lineRule="auto"/>
              <w:jc w:val="center"/>
              <w:rPr>
                <w:rFonts w:ascii="Century Gothic" w:hAnsi="Century Gothic"/>
                <w:sz w:val="20"/>
              </w:rPr>
            </w:pPr>
            <w:r w:rsidRPr="008F0A40">
              <w:rPr>
                <w:rFonts w:ascii="Century Gothic" w:hAnsi="Century Gothic" w:cstheme="minorHAnsi"/>
                <w:bCs/>
                <w:color w:val="333333"/>
                <w:shd w:val="clear" w:color="auto" w:fill="FFFFFF"/>
              </w:rPr>
              <w:t>4.6%</w:t>
            </w:r>
          </w:p>
        </w:tc>
        <w:tc>
          <w:tcPr>
            <w:tcW w:w="1446" w:type="dxa"/>
            <w:vAlign w:val="center"/>
          </w:tcPr>
          <w:p w:rsidR="008F0A40" w:rsidRPr="008F0A40" w:rsidRDefault="008F0A40" w:rsidP="008F0A40">
            <w:pPr>
              <w:spacing w:line="360" w:lineRule="auto"/>
              <w:jc w:val="center"/>
              <w:rPr>
                <w:rFonts w:ascii="Century Gothic" w:hAnsi="Century Gothic" w:cstheme="minorHAnsi"/>
                <w:b/>
                <w:color w:val="333333"/>
                <w:shd w:val="clear" w:color="auto" w:fill="FFFFFF"/>
              </w:rPr>
            </w:pPr>
            <w:r w:rsidRPr="008F0A40">
              <w:rPr>
                <w:rFonts w:ascii="Century Gothic" w:hAnsi="Century Gothic" w:cstheme="minorHAnsi"/>
                <w:b/>
                <w:color w:val="333333"/>
                <w:shd w:val="clear" w:color="auto" w:fill="FFFFFF"/>
              </w:rPr>
              <w:t>4.1</w:t>
            </w:r>
          </w:p>
        </w:tc>
      </w:tr>
      <w:tr w:rsidR="008F0A40" w:rsidRPr="0050035B" w:rsidTr="008F0A40">
        <w:trPr>
          <w:trHeight w:val="186"/>
        </w:trPr>
        <w:tc>
          <w:tcPr>
            <w:tcW w:w="0" w:type="auto"/>
            <w:shd w:val="clear" w:color="auto" w:fill="7F7F7F" w:themeFill="text1" w:themeFillTint="80"/>
            <w:vAlign w:val="center"/>
          </w:tcPr>
          <w:p w:rsidR="008F0A40" w:rsidRPr="0050035B" w:rsidRDefault="008F0A40" w:rsidP="008F0A40">
            <w:pPr>
              <w:jc w:val="center"/>
              <w:rPr>
                <w:rFonts w:ascii="Century Gothic" w:hAnsi="Century Gothic"/>
                <w:b/>
                <w:color w:val="FFFFFF" w:themeColor="background1"/>
                <w:sz w:val="20"/>
                <w:szCs w:val="24"/>
              </w:rPr>
            </w:pPr>
            <w:r w:rsidRPr="0050035B">
              <w:rPr>
                <w:rFonts w:ascii="Century Gothic" w:hAnsi="Century Gothic"/>
                <w:b/>
                <w:color w:val="FFFFFF" w:themeColor="background1"/>
                <w:sz w:val="20"/>
              </w:rPr>
              <w:t>Inflación (incremento porcentual)</w:t>
            </w:r>
          </w:p>
        </w:tc>
        <w:tc>
          <w:tcPr>
            <w:tcW w:w="2256" w:type="dxa"/>
            <w:vAlign w:val="center"/>
          </w:tcPr>
          <w:p w:rsidR="008F0A40" w:rsidRPr="0050035B" w:rsidRDefault="008F0A40" w:rsidP="008F0A40">
            <w:pPr>
              <w:jc w:val="center"/>
              <w:rPr>
                <w:rFonts w:ascii="Century Gothic" w:hAnsi="Century Gothic"/>
                <w:sz w:val="20"/>
              </w:rPr>
            </w:pPr>
            <w:r w:rsidRPr="0050035B">
              <w:rPr>
                <w:rFonts w:ascii="Century Gothic" w:hAnsi="Century Gothic"/>
                <w:sz w:val="20"/>
              </w:rPr>
              <w:t>3.0%</w:t>
            </w:r>
          </w:p>
        </w:tc>
        <w:tc>
          <w:tcPr>
            <w:tcW w:w="0" w:type="auto"/>
            <w:vAlign w:val="center"/>
          </w:tcPr>
          <w:p w:rsidR="008F0A40" w:rsidRPr="0050035B" w:rsidRDefault="008F0A40" w:rsidP="008F0A40">
            <w:pPr>
              <w:jc w:val="center"/>
              <w:rPr>
                <w:rFonts w:ascii="Century Gothic" w:hAnsi="Century Gothic"/>
                <w:sz w:val="20"/>
              </w:rPr>
            </w:pPr>
            <w:r w:rsidRPr="0050035B">
              <w:rPr>
                <w:rFonts w:ascii="Century Gothic" w:hAnsi="Century Gothic"/>
                <w:sz w:val="20"/>
              </w:rPr>
              <w:t>3</w:t>
            </w:r>
          </w:p>
        </w:tc>
        <w:tc>
          <w:tcPr>
            <w:tcW w:w="878" w:type="dxa"/>
            <w:vAlign w:val="center"/>
          </w:tcPr>
          <w:p w:rsidR="008F0A40" w:rsidRPr="0050035B" w:rsidRDefault="008F0A40" w:rsidP="008F0A40">
            <w:pPr>
              <w:jc w:val="center"/>
              <w:rPr>
                <w:rFonts w:ascii="Century Gothic" w:hAnsi="Century Gothic"/>
                <w:sz w:val="20"/>
              </w:rPr>
            </w:pPr>
            <w:r w:rsidRPr="0050035B">
              <w:rPr>
                <w:rFonts w:ascii="Century Gothic" w:hAnsi="Century Gothic"/>
                <w:sz w:val="20"/>
                <w:szCs w:val="24"/>
              </w:rPr>
              <w:t>4%</w:t>
            </w:r>
            <w:r w:rsidRPr="0050035B">
              <w:rPr>
                <w:rStyle w:val="Refdenotaalpie"/>
                <w:rFonts w:ascii="Century Gothic" w:hAnsi="Century Gothic"/>
                <w:sz w:val="20"/>
                <w:szCs w:val="24"/>
              </w:rPr>
              <w:footnoteReference w:id="39"/>
            </w:r>
          </w:p>
        </w:tc>
        <w:tc>
          <w:tcPr>
            <w:tcW w:w="0" w:type="auto"/>
            <w:vAlign w:val="center"/>
          </w:tcPr>
          <w:p w:rsidR="008F0A40" w:rsidRPr="0050035B" w:rsidRDefault="008F0A40" w:rsidP="008F0A40">
            <w:pPr>
              <w:jc w:val="center"/>
              <w:rPr>
                <w:rFonts w:ascii="Century Gothic" w:hAnsi="Century Gothic"/>
                <w:sz w:val="20"/>
              </w:rPr>
            </w:pPr>
            <w:r w:rsidRPr="0050035B">
              <w:rPr>
                <w:rFonts w:ascii="Century Gothic" w:hAnsi="Century Gothic"/>
                <w:sz w:val="16"/>
                <w:szCs w:val="20"/>
              </w:rPr>
              <w:t>3 %</w:t>
            </w:r>
            <w:r w:rsidRPr="0050035B">
              <w:rPr>
                <w:rStyle w:val="Refdenotaalpie"/>
                <w:rFonts w:ascii="Century Gothic" w:hAnsi="Century Gothic"/>
                <w:sz w:val="20"/>
                <w:szCs w:val="20"/>
              </w:rPr>
              <w:footnoteReference w:id="40"/>
            </w:r>
          </w:p>
        </w:tc>
        <w:tc>
          <w:tcPr>
            <w:tcW w:w="0" w:type="auto"/>
            <w:vAlign w:val="center"/>
          </w:tcPr>
          <w:p w:rsidR="008F0A40" w:rsidRPr="008F0A40" w:rsidRDefault="008F0A40" w:rsidP="008F0A40">
            <w:pPr>
              <w:jc w:val="center"/>
              <w:rPr>
                <w:rFonts w:ascii="Century Gothic" w:hAnsi="Century Gothic"/>
                <w:sz w:val="20"/>
              </w:rPr>
            </w:pPr>
            <w:r w:rsidRPr="008F0A40">
              <w:rPr>
                <w:rFonts w:ascii="Century Gothic" w:hAnsi="Century Gothic" w:cstheme="minorHAnsi"/>
                <w:color w:val="333333"/>
                <w:shd w:val="clear" w:color="auto" w:fill="FFFFFF"/>
              </w:rPr>
              <w:t>3%</w:t>
            </w:r>
          </w:p>
        </w:tc>
        <w:tc>
          <w:tcPr>
            <w:tcW w:w="1446" w:type="dxa"/>
            <w:vAlign w:val="center"/>
          </w:tcPr>
          <w:p w:rsidR="008F0A40" w:rsidRPr="008F0A40" w:rsidRDefault="008F0A40" w:rsidP="008F0A40">
            <w:pPr>
              <w:spacing w:line="360" w:lineRule="auto"/>
              <w:jc w:val="center"/>
              <w:rPr>
                <w:rFonts w:ascii="Century Gothic" w:hAnsi="Century Gothic" w:cstheme="minorHAnsi"/>
                <w:b/>
                <w:color w:val="333333"/>
                <w:shd w:val="clear" w:color="auto" w:fill="FFFFFF"/>
              </w:rPr>
            </w:pPr>
            <w:r w:rsidRPr="008F0A40">
              <w:rPr>
                <w:rFonts w:ascii="Century Gothic" w:hAnsi="Century Gothic" w:cstheme="minorHAnsi"/>
                <w:b/>
                <w:color w:val="333333"/>
                <w:shd w:val="clear" w:color="auto" w:fill="FFFFFF"/>
              </w:rPr>
              <w:t>4.1</w:t>
            </w:r>
          </w:p>
        </w:tc>
      </w:tr>
      <w:tr w:rsidR="008F0A40" w:rsidRPr="0050035B" w:rsidTr="008F0A40">
        <w:trPr>
          <w:trHeight w:val="554"/>
        </w:trPr>
        <w:tc>
          <w:tcPr>
            <w:tcW w:w="0" w:type="auto"/>
            <w:shd w:val="clear" w:color="auto" w:fill="7F7F7F" w:themeFill="text1" w:themeFillTint="80"/>
            <w:vAlign w:val="center"/>
          </w:tcPr>
          <w:p w:rsidR="008F0A40" w:rsidRPr="0050035B" w:rsidRDefault="008F0A40" w:rsidP="008F0A40">
            <w:pPr>
              <w:jc w:val="center"/>
              <w:rPr>
                <w:rFonts w:ascii="Century Gothic" w:hAnsi="Century Gothic"/>
                <w:b/>
                <w:color w:val="FFFFFF" w:themeColor="background1"/>
                <w:sz w:val="20"/>
              </w:rPr>
            </w:pPr>
            <w:r w:rsidRPr="0050035B">
              <w:rPr>
                <w:rFonts w:ascii="Century Gothic" w:hAnsi="Century Gothic"/>
                <w:b/>
                <w:color w:val="FFFFFF" w:themeColor="background1"/>
                <w:sz w:val="20"/>
              </w:rPr>
              <w:t>Tipo de Cambio</w:t>
            </w:r>
          </w:p>
          <w:p w:rsidR="008F0A40" w:rsidRPr="0050035B" w:rsidRDefault="008F0A40" w:rsidP="008F0A40">
            <w:pPr>
              <w:jc w:val="center"/>
              <w:rPr>
                <w:rFonts w:ascii="Century Gothic" w:hAnsi="Century Gothic"/>
                <w:b/>
                <w:color w:val="FFFFFF" w:themeColor="background1"/>
                <w:sz w:val="20"/>
              </w:rPr>
            </w:pPr>
          </w:p>
        </w:tc>
        <w:tc>
          <w:tcPr>
            <w:tcW w:w="2256" w:type="dxa"/>
            <w:vAlign w:val="center"/>
          </w:tcPr>
          <w:p w:rsidR="008F0A40" w:rsidRPr="0050035B" w:rsidRDefault="008F0A40" w:rsidP="008F0A40">
            <w:pPr>
              <w:jc w:val="center"/>
              <w:rPr>
                <w:rFonts w:ascii="Century Gothic" w:hAnsi="Century Gothic"/>
                <w:sz w:val="20"/>
              </w:rPr>
            </w:pPr>
            <w:r w:rsidRPr="0050035B">
              <w:rPr>
                <w:rFonts w:ascii="Century Gothic" w:hAnsi="Century Gothic"/>
                <w:sz w:val="20"/>
              </w:rPr>
              <w:t>18.2</w:t>
            </w:r>
          </w:p>
        </w:tc>
        <w:tc>
          <w:tcPr>
            <w:tcW w:w="0" w:type="auto"/>
            <w:vAlign w:val="center"/>
          </w:tcPr>
          <w:p w:rsidR="008F0A40" w:rsidRPr="0050035B" w:rsidRDefault="008F0A40" w:rsidP="008F0A40">
            <w:pPr>
              <w:jc w:val="center"/>
              <w:rPr>
                <w:rFonts w:ascii="Century Gothic" w:hAnsi="Century Gothic"/>
                <w:sz w:val="20"/>
              </w:rPr>
            </w:pPr>
            <w:r w:rsidRPr="0050035B">
              <w:rPr>
                <w:rFonts w:ascii="Century Gothic" w:hAnsi="Century Gothic"/>
                <w:sz w:val="20"/>
              </w:rPr>
              <w:t>$ 18.1</w:t>
            </w:r>
          </w:p>
        </w:tc>
        <w:tc>
          <w:tcPr>
            <w:tcW w:w="878" w:type="dxa"/>
            <w:vAlign w:val="center"/>
          </w:tcPr>
          <w:p w:rsidR="008F0A40" w:rsidRPr="0050035B" w:rsidRDefault="008F0A40" w:rsidP="008F0A40">
            <w:pPr>
              <w:jc w:val="center"/>
              <w:rPr>
                <w:rFonts w:ascii="Century Gothic" w:hAnsi="Century Gothic"/>
                <w:sz w:val="20"/>
              </w:rPr>
            </w:pPr>
            <w:r w:rsidRPr="0050035B">
              <w:rPr>
                <w:rFonts w:ascii="Century Gothic" w:hAnsi="Century Gothic"/>
                <w:sz w:val="20"/>
              </w:rPr>
              <w:t>$18.4</w:t>
            </w:r>
            <w:r w:rsidRPr="0050035B">
              <w:rPr>
                <w:rStyle w:val="Refdenotaalpie"/>
                <w:rFonts w:ascii="Century Gothic" w:hAnsi="Century Gothic"/>
                <w:sz w:val="20"/>
              </w:rPr>
              <w:footnoteReference w:id="41"/>
            </w:r>
          </w:p>
        </w:tc>
        <w:tc>
          <w:tcPr>
            <w:tcW w:w="0" w:type="auto"/>
            <w:vAlign w:val="center"/>
          </w:tcPr>
          <w:p w:rsidR="008F0A40" w:rsidRPr="0050035B" w:rsidRDefault="008F0A40" w:rsidP="008F0A40">
            <w:pPr>
              <w:jc w:val="center"/>
              <w:rPr>
                <w:rFonts w:ascii="Century Gothic" w:hAnsi="Century Gothic"/>
                <w:sz w:val="20"/>
              </w:rPr>
            </w:pPr>
            <w:r w:rsidRPr="0050035B">
              <w:rPr>
                <w:rFonts w:ascii="Century Gothic" w:hAnsi="Century Gothic"/>
                <w:sz w:val="20"/>
              </w:rPr>
              <w:t>20</w:t>
            </w:r>
            <w:r w:rsidRPr="0050035B">
              <w:rPr>
                <w:rStyle w:val="Refdenotaalpie"/>
                <w:rFonts w:ascii="Century Gothic" w:hAnsi="Century Gothic"/>
                <w:sz w:val="20"/>
              </w:rPr>
              <w:footnoteReference w:id="42"/>
            </w:r>
          </w:p>
        </w:tc>
        <w:tc>
          <w:tcPr>
            <w:tcW w:w="0" w:type="auto"/>
            <w:vAlign w:val="center"/>
          </w:tcPr>
          <w:p w:rsidR="008F0A40" w:rsidRPr="008F0A40" w:rsidRDefault="008F0A40" w:rsidP="008F0A40">
            <w:pPr>
              <w:jc w:val="center"/>
              <w:rPr>
                <w:rFonts w:ascii="Century Gothic" w:hAnsi="Century Gothic"/>
                <w:sz w:val="20"/>
              </w:rPr>
            </w:pPr>
            <w:r w:rsidRPr="008F0A40">
              <w:rPr>
                <w:rFonts w:ascii="Century Gothic" w:hAnsi="Century Gothic" w:cstheme="minorHAnsi"/>
                <w:color w:val="333333"/>
                <w:shd w:val="clear" w:color="auto" w:fill="FFFFFF"/>
              </w:rPr>
              <w:t>$21.9</w:t>
            </w:r>
            <w:r w:rsidRPr="008F0A40">
              <w:rPr>
                <w:rStyle w:val="Refdenotaalpie"/>
                <w:rFonts w:ascii="Century Gothic" w:hAnsi="Century Gothic" w:cstheme="minorHAnsi"/>
                <w:color w:val="333333"/>
                <w:shd w:val="clear" w:color="auto" w:fill="FFFFFF"/>
              </w:rPr>
              <w:footnoteReference w:id="43"/>
            </w:r>
          </w:p>
        </w:tc>
        <w:tc>
          <w:tcPr>
            <w:tcW w:w="1446" w:type="dxa"/>
            <w:vAlign w:val="center"/>
          </w:tcPr>
          <w:p w:rsidR="008F0A40" w:rsidRPr="008F0A40" w:rsidRDefault="008F0A40" w:rsidP="008F0A40">
            <w:pPr>
              <w:spacing w:line="360" w:lineRule="auto"/>
              <w:jc w:val="center"/>
              <w:rPr>
                <w:rFonts w:ascii="Century Gothic" w:hAnsi="Century Gothic" w:cstheme="minorHAnsi"/>
                <w:b/>
                <w:color w:val="333333"/>
                <w:shd w:val="clear" w:color="auto" w:fill="FFFFFF"/>
              </w:rPr>
            </w:pPr>
            <w:r w:rsidRPr="008F0A40">
              <w:rPr>
                <w:rFonts w:ascii="Century Gothic" w:hAnsi="Century Gothic" w:cstheme="minorHAnsi"/>
                <w:b/>
                <w:color w:val="333333"/>
                <w:shd w:val="clear" w:color="auto" w:fill="FFFFFF"/>
              </w:rPr>
              <w:t>20.3</w:t>
            </w:r>
          </w:p>
        </w:tc>
      </w:tr>
    </w:tbl>
    <w:p w:rsidR="006415D8" w:rsidRPr="0050035B" w:rsidRDefault="008201DB" w:rsidP="008201DB">
      <w:pPr>
        <w:spacing w:line="360" w:lineRule="auto"/>
        <w:ind w:right="26"/>
        <w:jc w:val="center"/>
        <w:rPr>
          <w:rFonts w:ascii="Century Gothic" w:hAnsi="Century Gothic"/>
          <w:sz w:val="20"/>
          <w:szCs w:val="20"/>
          <w:lang w:val="es-MX"/>
        </w:rPr>
      </w:pPr>
      <w:r w:rsidRPr="0050035B">
        <w:rPr>
          <w:rFonts w:ascii="Century Gothic" w:hAnsi="Century Gothic"/>
          <w:b/>
          <w:bCs/>
          <w:sz w:val="20"/>
          <w:szCs w:val="20"/>
          <w:lang w:val="es-MX"/>
        </w:rPr>
        <w:t>Fuente</w:t>
      </w:r>
      <w:r w:rsidRPr="0050035B">
        <w:rPr>
          <w:rFonts w:ascii="Century Gothic" w:hAnsi="Century Gothic"/>
          <w:sz w:val="20"/>
          <w:szCs w:val="20"/>
          <w:lang w:val="es-MX"/>
        </w:rPr>
        <w:t>: Elaboración propia con información de SHCP, 20</w:t>
      </w:r>
      <w:r w:rsidR="007C259E" w:rsidRPr="0050035B">
        <w:rPr>
          <w:rFonts w:ascii="Century Gothic" w:hAnsi="Century Gothic"/>
          <w:sz w:val="20"/>
          <w:szCs w:val="20"/>
          <w:lang w:val="es-MX"/>
        </w:rPr>
        <w:t>2</w:t>
      </w:r>
      <w:r w:rsidR="008F0A40">
        <w:rPr>
          <w:rFonts w:ascii="Century Gothic" w:hAnsi="Century Gothic"/>
          <w:sz w:val="20"/>
          <w:szCs w:val="20"/>
          <w:lang w:val="es-MX"/>
        </w:rPr>
        <w:t>1</w:t>
      </w:r>
      <w:r w:rsidRPr="0050035B">
        <w:rPr>
          <w:rFonts w:ascii="Century Gothic" w:hAnsi="Century Gothic"/>
          <w:sz w:val="20"/>
          <w:szCs w:val="20"/>
          <w:lang w:val="es-MX"/>
        </w:rPr>
        <w:t>.</w:t>
      </w:r>
    </w:p>
    <w:p w:rsidR="00E74090" w:rsidRPr="0050035B" w:rsidRDefault="00C84983" w:rsidP="008201DB">
      <w:pPr>
        <w:spacing w:line="360" w:lineRule="auto"/>
        <w:ind w:right="26" w:firstLine="720"/>
        <w:jc w:val="both"/>
        <w:rPr>
          <w:rFonts w:ascii="Century Gothic" w:hAnsi="Century Gothic"/>
          <w:lang w:val="es-MX"/>
        </w:rPr>
      </w:pPr>
      <w:r w:rsidRPr="0050035B">
        <w:rPr>
          <w:rFonts w:ascii="Century Gothic" w:hAnsi="Century Gothic"/>
          <w:lang w:val="es-MX"/>
        </w:rPr>
        <w:lastRenderedPageBreak/>
        <w:t>La tabla 3.6</w:t>
      </w:r>
      <w:r w:rsidR="00EE4540" w:rsidRPr="0050035B">
        <w:rPr>
          <w:rFonts w:ascii="Century Gothic" w:hAnsi="Century Gothic"/>
          <w:lang w:val="es-MX"/>
        </w:rPr>
        <w:t xml:space="preserve"> presenta un resumen del marco macroeconómico 20</w:t>
      </w:r>
      <w:r w:rsidR="007C259E" w:rsidRPr="0050035B">
        <w:rPr>
          <w:rFonts w:ascii="Century Gothic" w:hAnsi="Century Gothic"/>
          <w:lang w:val="es-MX"/>
        </w:rPr>
        <w:t>2</w:t>
      </w:r>
      <w:r w:rsidR="008F0A40">
        <w:rPr>
          <w:rFonts w:ascii="Century Gothic" w:hAnsi="Century Gothic"/>
          <w:lang w:val="es-MX"/>
        </w:rPr>
        <w:t>1</w:t>
      </w:r>
      <w:r w:rsidR="00222AE3" w:rsidRPr="0050035B">
        <w:rPr>
          <w:rFonts w:ascii="Century Gothic" w:hAnsi="Century Gothic"/>
          <w:lang w:val="es-MX"/>
        </w:rPr>
        <w:t>-202</w:t>
      </w:r>
      <w:r w:rsidR="008F0A40">
        <w:rPr>
          <w:rFonts w:ascii="Century Gothic" w:hAnsi="Century Gothic"/>
          <w:lang w:val="es-MX"/>
        </w:rPr>
        <w:t>2</w:t>
      </w:r>
      <w:r w:rsidR="00EE4540" w:rsidRPr="0050035B">
        <w:rPr>
          <w:rFonts w:ascii="Century Gothic" w:hAnsi="Century Gothic"/>
          <w:lang w:val="es-MX"/>
        </w:rPr>
        <w:t xml:space="preserve"> (estimado) en los </w:t>
      </w:r>
      <w:r w:rsidR="008F0A40">
        <w:rPr>
          <w:rFonts w:ascii="Century Gothic" w:hAnsi="Century Gothic"/>
          <w:lang w:val="es-MX"/>
        </w:rPr>
        <w:t>CGPE</w:t>
      </w:r>
      <w:r w:rsidR="00222AE3" w:rsidRPr="0050035B">
        <w:rPr>
          <w:rFonts w:ascii="Century Gothic" w:hAnsi="Century Gothic"/>
          <w:lang w:val="es-MX"/>
        </w:rPr>
        <w:t xml:space="preserve"> 202</w:t>
      </w:r>
      <w:r w:rsidR="008F0A40">
        <w:rPr>
          <w:rFonts w:ascii="Century Gothic" w:hAnsi="Century Gothic"/>
          <w:lang w:val="es-MX"/>
        </w:rPr>
        <w:t>2</w:t>
      </w:r>
      <w:r w:rsidR="005C1E08" w:rsidRPr="0050035B">
        <w:rPr>
          <w:rFonts w:ascii="Century Gothic" w:hAnsi="Century Gothic"/>
          <w:lang w:val="es-MX"/>
        </w:rPr>
        <w:t>.</w:t>
      </w:r>
    </w:p>
    <w:p w:rsidR="00FD7C60" w:rsidRPr="0050035B" w:rsidRDefault="00FD7C60" w:rsidP="008201DB">
      <w:pPr>
        <w:spacing w:line="360" w:lineRule="auto"/>
        <w:ind w:right="26" w:firstLine="720"/>
        <w:jc w:val="both"/>
        <w:rPr>
          <w:b/>
          <w:sz w:val="12"/>
          <w:lang w:val="es-MX"/>
        </w:rPr>
      </w:pPr>
    </w:p>
    <w:p w:rsidR="00E74090" w:rsidRPr="0050035B" w:rsidRDefault="00FF7CE4" w:rsidP="000E2C92">
      <w:pPr>
        <w:ind w:right="26"/>
        <w:jc w:val="both"/>
        <w:rPr>
          <w:rFonts w:ascii="Century Gothic" w:hAnsi="Century Gothic"/>
          <w:sz w:val="22"/>
          <w:szCs w:val="22"/>
          <w:lang w:val="es-MX"/>
        </w:rPr>
      </w:pPr>
      <w:r w:rsidRPr="0050035B">
        <w:rPr>
          <w:b/>
          <w:sz w:val="22"/>
          <w:szCs w:val="22"/>
          <w:lang w:val="es-MX"/>
        </w:rPr>
        <w:t xml:space="preserve"> </w:t>
      </w:r>
      <w:r w:rsidR="00E74090" w:rsidRPr="0050035B">
        <w:rPr>
          <w:rFonts w:ascii="Century Gothic" w:hAnsi="Century Gothic"/>
          <w:b/>
          <w:sz w:val="22"/>
          <w:szCs w:val="22"/>
          <w:lang w:val="es-MX"/>
        </w:rPr>
        <w:t>Tab</w:t>
      </w:r>
      <w:r w:rsidR="00FD7C60" w:rsidRPr="0050035B">
        <w:rPr>
          <w:rFonts w:ascii="Century Gothic" w:hAnsi="Century Gothic"/>
          <w:b/>
          <w:sz w:val="22"/>
          <w:szCs w:val="22"/>
          <w:lang w:val="es-MX"/>
        </w:rPr>
        <w:t>la 3.</w:t>
      </w:r>
      <w:r w:rsidR="00C84983" w:rsidRPr="0050035B">
        <w:rPr>
          <w:rFonts w:ascii="Century Gothic" w:hAnsi="Century Gothic"/>
          <w:b/>
          <w:sz w:val="22"/>
          <w:szCs w:val="22"/>
          <w:lang w:val="es-MX"/>
        </w:rPr>
        <w:t>6</w:t>
      </w:r>
      <w:r w:rsidR="000B5EE9" w:rsidRPr="0050035B">
        <w:rPr>
          <w:rFonts w:ascii="Century Gothic" w:hAnsi="Century Gothic"/>
          <w:b/>
          <w:sz w:val="22"/>
          <w:szCs w:val="22"/>
          <w:lang w:val="es-MX"/>
        </w:rPr>
        <w:t>.</w:t>
      </w:r>
      <w:r w:rsidR="00E74090" w:rsidRPr="0050035B">
        <w:rPr>
          <w:rFonts w:ascii="Century Gothic" w:hAnsi="Century Gothic"/>
          <w:b/>
          <w:sz w:val="22"/>
          <w:szCs w:val="22"/>
          <w:lang w:val="es-MX"/>
        </w:rPr>
        <w:t xml:space="preserve"> </w:t>
      </w:r>
      <w:r w:rsidR="00655D8E" w:rsidRPr="0050035B">
        <w:rPr>
          <w:rFonts w:ascii="Century Gothic" w:hAnsi="Century Gothic"/>
          <w:sz w:val="22"/>
          <w:szCs w:val="22"/>
          <w:lang w:val="es-MX"/>
        </w:rPr>
        <w:t>Entorno</w:t>
      </w:r>
      <w:r w:rsidR="00222AE3" w:rsidRPr="0050035B">
        <w:rPr>
          <w:rFonts w:ascii="Century Gothic" w:hAnsi="Century Gothic"/>
          <w:sz w:val="22"/>
          <w:szCs w:val="22"/>
          <w:lang w:val="es-MX"/>
        </w:rPr>
        <w:t xml:space="preserve"> macroeconómico, 20</w:t>
      </w:r>
      <w:r w:rsidR="007C259E" w:rsidRPr="0050035B">
        <w:rPr>
          <w:rFonts w:ascii="Century Gothic" w:hAnsi="Century Gothic"/>
          <w:sz w:val="22"/>
          <w:szCs w:val="22"/>
          <w:lang w:val="es-MX"/>
        </w:rPr>
        <w:t>2</w:t>
      </w:r>
      <w:r w:rsidR="00724E5D">
        <w:rPr>
          <w:rFonts w:ascii="Century Gothic" w:hAnsi="Century Gothic"/>
          <w:sz w:val="22"/>
          <w:szCs w:val="22"/>
          <w:lang w:val="es-MX"/>
        </w:rPr>
        <w:t>1</w:t>
      </w:r>
      <w:r w:rsidR="00AE7990" w:rsidRPr="0050035B">
        <w:rPr>
          <w:rFonts w:ascii="Century Gothic" w:hAnsi="Century Gothic"/>
          <w:sz w:val="22"/>
          <w:szCs w:val="22"/>
          <w:lang w:val="es-MX"/>
        </w:rPr>
        <w:t>-20</w:t>
      </w:r>
      <w:r w:rsidR="00222AE3" w:rsidRPr="0050035B">
        <w:rPr>
          <w:rFonts w:ascii="Century Gothic" w:hAnsi="Century Gothic"/>
          <w:sz w:val="22"/>
          <w:szCs w:val="22"/>
          <w:lang w:val="es-MX"/>
        </w:rPr>
        <w:t>2</w:t>
      </w:r>
      <w:r w:rsidR="00724E5D">
        <w:rPr>
          <w:rFonts w:ascii="Century Gothic" w:hAnsi="Century Gothic"/>
          <w:sz w:val="22"/>
          <w:szCs w:val="22"/>
          <w:lang w:val="es-MX"/>
        </w:rPr>
        <w:t>2</w:t>
      </w:r>
      <w:r w:rsidR="00E74090" w:rsidRPr="0050035B">
        <w:rPr>
          <w:rFonts w:ascii="Century Gothic" w:hAnsi="Century Gothic"/>
          <w:sz w:val="22"/>
          <w:szCs w:val="22"/>
          <w:lang w:val="es-MX"/>
        </w:rPr>
        <w:t xml:space="preserve"> </w:t>
      </w:r>
      <w:r w:rsidR="00655D8E" w:rsidRPr="0050035B">
        <w:rPr>
          <w:rFonts w:ascii="Century Gothic" w:hAnsi="Century Gothic"/>
          <w:sz w:val="22"/>
          <w:szCs w:val="22"/>
          <w:lang w:val="es-MX"/>
        </w:rPr>
        <w:t xml:space="preserve">señalado </w:t>
      </w:r>
      <w:r w:rsidR="00E74090" w:rsidRPr="0050035B">
        <w:rPr>
          <w:rFonts w:ascii="Century Gothic" w:hAnsi="Century Gothic"/>
          <w:sz w:val="22"/>
          <w:szCs w:val="22"/>
          <w:lang w:val="es-MX"/>
        </w:rPr>
        <w:t xml:space="preserve">en los </w:t>
      </w:r>
      <w:r w:rsidR="00724E5D">
        <w:rPr>
          <w:rFonts w:ascii="Century Gothic" w:hAnsi="Century Gothic"/>
          <w:sz w:val="22"/>
          <w:szCs w:val="22"/>
          <w:lang w:val="es-MX"/>
        </w:rPr>
        <w:t xml:space="preserve">CGPE </w:t>
      </w:r>
      <w:r w:rsidR="00222AE3" w:rsidRPr="0050035B">
        <w:rPr>
          <w:rFonts w:ascii="Century Gothic" w:hAnsi="Century Gothic"/>
          <w:sz w:val="22"/>
          <w:szCs w:val="22"/>
          <w:lang w:val="es-MX"/>
        </w:rPr>
        <w:t>202</w:t>
      </w:r>
      <w:r w:rsidR="007C259E" w:rsidRPr="0050035B">
        <w:rPr>
          <w:rFonts w:ascii="Century Gothic" w:hAnsi="Century Gothic"/>
          <w:sz w:val="22"/>
          <w:szCs w:val="22"/>
          <w:lang w:val="es-MX"/>
        </w:rPr>
        <w:t>1</w:t>
      </w:r>
      <w:r w:rsidR="003D5DC6" w:rsidRPr="0050035B">
        <w:rPr>
          <w:rFonts w:ascii="Century Gothic" w:hAnsi="Century Gothic"/>
          <w:sz w:val="22"/>
          <w:szCs w:val="22"/>
          <w:lang w:val="es-MX"/>
        </w:rPr>
        <w:t>.</w:t>
      </w:r>
    </w:p>
    <w:p w:rsidR="00655D8E" w:rsidRPr="0050035B" w:rsidRDefault="00C62E98" w:rsidP="000E2C92">
      <w:pPr>
        <w:ind w:right="26"/>
        <w:jc w:val="both"/>
        <w:rPr>
          <w:rFonts w:ascii="Century Gothic" w:hAnsi="Century Gothic"/>
          <w:sz w:val="22"/>
          <w:szCs w:val="22"/>
          <w:lang w:val="es-MX"/>
        </w:rPr>
      </w:pPr>
      <w:r>
        <w:rPr>
          <w:noProof/>
          <w:lang w:val="es-MX" w:eastAsia="es-MX"/>
        </w:rPr>
        <w:drawing>
          <wp:anchor distT="0" distB="0" distL="114300" distR="114300" simplePos="0" relativeHeight="251748352" behindDoc="1" locked="0" layoutInCell="1" allowOverlap="1" wp14:anchorId="4F8BFEC9" wp14:editId="37C7BAC8">
            <wp:simplePos x="0" y="0"/>
            <wp:positionH relativeFrom="page">
              <wp:posOffset>1042737</wp:posOffset>
            </wp:positionH>
            <wp:positionV relativeFrom="paragraph">
              <wp:posOffset>144613</wp:posOffset>
            </wp:positionV>
            <wp:extent cx="6102167" cy="5662863"/>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9471" t="5743"/>
                    <a:stretch/>
                  </pic:blipFill>
                  <pic:spPr bwMode="auto">
                    <a:xfrm>
                      <a:off x="0" y="0"/>
                      <a:ext cx="6105471" cy="56659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4540" w:rsidRPr="0050035B" w:rsidRDefault="00EE4540" w:rsidP="00EE4540">
      <w:pPr>
        <w:spacing w:line="360" w:lineRule="auto"/>
        <w:ind w:firstLine="360"/>
        <w:jc w:val="both"/>
        <w:rPr>
          <w:b/>
          <w:sz w:val="28"/>
          <w:lang w:val="es-MX"/>
        </w:rPr>
      </w:pPr>
    </w:p>
    <w:p w:rsidR="00EE4540" w:rsidRPr="0050035B" w:rsidRDefault="00EE4540" w:rsidP="00EE4540">
      <w:pPr>
        <w:spacing w:line="360" w:lineRule="auto"/>
        <w:ind w:firstLine="360"/>
        <w:jc w:val="both"/>
        <w:rPr>
          <w:b/>
          <w:sz w:val="28"/>
          <w:lang w:val="es-MX"/>
        </w:rPr>
      </w:pPr>
    </w:p>
    <w:p w:rsidR="00EE4540" w:rsidRPr="0050035B" w:rsidRDefault="00EE4540" w:rsidP="00EE4540">
      <w:pPr>
        <w:spacing w:line="360" w:lineRule="auto"/>
        <w:ind w:firstLine="360"/>
        <w:jc w:val="both"/>
        <w:rPr>
          <w:b/>
          <w:sz w:val="28"/>
          <w:lang w:val="es-MX"/>
        </w:rPr>
      </w:pPr>
    </w:p>
    <w:p w:rsidR="00EE4540" w:rsidRPr="0050035B" w:rsidRDefault="00EE4540" w:rsidP="00EE4540">
      <w:pPr>
        <w:spacing w:line="360" w:lineRule="auto"/>
        <w:ind w:firstLine="360"/>
        <w:jc w:val="both"/>
        <w:rPr>
          <w:b/>
          <w:sz w:val="28"/>
          <w:lang w:val="es-MX"/>
        </w:rPr>
      </w:pPr>
    </w:p>
    <w:p w:rsidR="00EE4540" w:rsidRPr="0050035B" w:rsidRDefault="00EE4540" w:rsidP="00EE4540">
      <w:pPr>
        <w:spacing w:line="360" w:lineRule="auto"/>
        <w:ind w:firstLine="360"/>
        <w:jc w:val="both"/>
        <w:rPr>
          <w:b/>
          <w:sz w:val="28"/>
          <w:lang w:val="es-MX"/>
        </w:rPr>
      </w:pPr>
    </w:p>
    <w:p w:rsidR="00EE4540" w:rsidRPr="0050035B" w:rsidRDefault="00EE4540" w:rsidP="00EE4540">
      <w:pPr>
        <w:spacing w:line="360" w:lineRule="auto"/>
        <w:ind w:firstLine="360"/>
        <w:jc w:val="both"/>
        <w:rPr>
          <w:b/>
          <w:sz w:val="28"/>
          <w:lang w:val="es-MX"/>
        </w:rPr>
      </w:pPr>
    </w:p>
    <w:p w:rsidR="00EE4540" w:rsidRPr="0050035B" w:rsidRDefault="00EE4540" w:rsidP="00EE4540">
      <w:pPr>
        <w:spacing w:line="360" w:lineRule="auto"/>
        <w:ind w:firstLine="360"/>
        <w:jc w:val="both"/>
        <w:rPr>
          <w:b/>
          <w:sz w:val="28"/>
          <w:lang w:val="es-MX"/>
        </w:rPr>
      </w:pPr>
    </w:p>
    <w:p w:rsidR="00EE4540" w:rsidRPr="0050035B" w:rsidRDefault="00EE4540" w:rsidP="00EE4540">
      <w:pPr>
        <w:spacing w:line="360" w:lineRule="auto"/>
        <w:ind w:firstLine="360"/>
        <w:jc w:val="both"/>
        <w:rPr>
          <w:b/>
          <w:sz w:val="28"/>
          <w:lang w:val="es-MX"/>
        </w:rPr>
      </w:pPr>
    </w:p>
    <w:p w:rsidR="00EE4540" w:rsidRPr="0050035B" w:rsidRDefault="00EE4540" w:rsidP="00EE4540">
      <w:pPr>
        <w:spacing w:line="360" w:lineRule="auto"/>
        <w:ind w:firstLine="360"/>
        <w:jc w:val="both"/>
        <w:rPr>
          <w:b/>
          <w:sz w:val="28"/>
          <w:lang w:val="es-MX"/>
        </w:rPr>
      </w:pPr>
    </w:p>
    <w:p w:rsidR="00EE4540" w:rsidRPr="0050035B" w:rsidRDefault="00EE4540" w:rsidP="00EE4540">
      <w:pPr>
        <w:spacing w:line="360" w:lineRule="auto"/>
        <w:ind w:firstLine="360"/>
        <w:jc w:val="both"/>
        <w:rPr>
          <w:b/>
          <w:sz w:val="28"/>
          <w:lang w:val="es-MX"/>
        </w:rPr>
      </w:pPr>
    </w:p>
    <w:p w:rsidR="00EE4540" w:rsidRPr="0050035B" w:rsidRDefault="00EE4540" w:rsidP="00EE4540">
      <w:pPr>
        <w:spacing w:line="360" w:lineRule="auto"/>
        <w:ind w:firstLine="360"/>
        <w:jc w:val="both"/>
        <w:rPr>
          <w:b/>
          <w:sz w:val="28"/>
          <w:lang w:val="es-MX"/>
        </w:rPr>
      </w:pPr>
    </w:p>
    <w:p w:rsidR="00EE4540" w:rsidRPr="0050035B" w:rsidRDefault="00EE4540" w:rsidP="00EE4540">
      <w:pPr>
        <w:spacing w:line="360" w:lineRule="auto"/>
        <w:ind w:firstLine="360"/>
        <w:jc w:val="both"/>
        <w:rPr>
          <w:b/>
          <w:sz w:val="28"/>
          <w:lang w:val="es-MX"/>
        </w:rPr>
      </w:pPr>
    </w:p>
    <w:p w:rsidR="00EE4540" w:rsidRPr="0050035B" w:rsidRDefault="00EE4540" w:rsidP="00EE4540">
      <w:pPr>
        <w:spacing w:line="360" w:lineRule="auto"/>
        <w:ind w:firstLine="360"/>
        <w:jc w:val="both"/>
        <w:rPr>
          <w:b/>
          <w:sz w:val="28"/>
          <w:lang w:val="es-MX"/>
        </w:rPr>
      </w:pPr>
    </w:p>
    <w:p w:rsidR="00EE4540" w:rsidRPr="0050035B" w:rsidRDefault="00EE4540" w:rsidP="00EE4540">
      <w:pPr>
        <w:spacing w:line="360" w:lineRule="auto"/>
        <w:ind w:firstLine="360"/>
        <w:jc w:val="both"/>
        <w:rPr>
          <w:b/>
          <w:sz w:val="28"/>
          <w:lang w:val="es-MX"/>
        </w:rPr>
      </w:pPr>
    </w:p>
    <w:p w:rsidR="00EE4540" w:rsidRPr="0050035B" w:rsidRDefault="00EE4540" w:rsidP="00EE4540">
      <w:pPr>
        <w:spacing w:line="360" w:lineRule="auto"/>
        <w:ind w:firstLine="360"/>
        <w:jc w:val="both"/>
        <w:rPr>
          <w:b/>
          <w:sz w:val="28"/>
          <w:lang w:val="es-MX"/>
        </w:rPr>
      </w:pPr>
    </w:p>
    <w:p w:rsidR="00EE4540" w:rsidRPr="0050035B" w:rsidRDefault="00EE4540" w:rsidP="00EE4540">
      <w:pPr>
        <w:spacing w:line="360" w:lineRule="auto"/>
        <w:ind w:firstLine="360"/>
        <w:jc w:val="both"/>
        <w:rPr>
          <w:b/>
          <w:sz w:val="28"/>
          <w:lang w:val="es-MX"/>
        </w:rPr>
      </w:pPr>
    </w:p>
    <w:p w:rsidR="00EE4540" w:rsidRPr="0050035B" w:rsidRDefault="00EE4540" w:rsidP="00EE4540">
      <w:pPr>
        <w:spacing w:line="360" w:lineRule="auto"/>
        <w:ind w:firstLine="360"/>
        <w:jc w:val="both"/>
        <w:rPr>
          <w:b/>
          <w:sz w:val="28"/>
          <w:lang w:val="es-MX"/>
        </w:rPr>
      </w:pPr>
    </w:p>
    <w:p w:rsidR="00EE4540" w:rsidRPr="0050035B" w:rsidRDefault="00EE4540" w:rsidP="00EE4540">
      <w:pPr>
        <w:spacing w:line="360" w:lineRule="auto"/>
        <w:ind w:firstLine="360"/>
        <w:jc w:val="both"/>
        <w:rPr>
          <w:b/>
          <w:sz w:val="28"/>
          <w:lang w:val="es-MX"/>
        </w:rPr>
      </w:pPr>
    </w:p>
    <w:p w:rsidR="00EE4540" w:rsidRPr="0050035B" w:rsidRDefault="00EE4540" w:rsidP="00EE4540">
      <w:pPr>
        <w:spacing w:line="360" w:lineRule="auto"/>
        <w:ind w:firstLine="360"/>
        <w:jc w:val="both"/>
        <w:rPr>
          <w:b/>
          <w:sz w:val="28"/>
          <w:lang w:val="es-MX"/>
        </w:rPr>
      </w:pPr>
    </w:p>
    <w:p w:rsidR="00D86274" w:rsidRPr="0050035B" w:rsidRDefault="00FF7CE4" w:rsidP="003D5DC6">
      <w:pPr>
        <w:spacing w:line="360" w:lineRule="auto"/>
        <w:ind w:firstLine="360"/>
        <w:jc w:val="both"/>
        <w:rPr>
          <w:rFonts w:ascii="Century Gothic" w:hAnsi="Century Gothic"/>
          <w:szCs w:val="20"/>
          <w:lang w:val="es-MX"/>
        </w:rPr>
      </w:pPr>
      <w:r w:rsidRPr="0050035B">
        <w:rPr>
          <w:rFonts w:ascii="Century Gothic" w:hAnsi="Century Gothic"/>
          <w:szCs w:val="20"/>
          <w:lang w:val="es-MX"/>
        </w:rPr>
        <w:br w:type="page"/>
      </w:r>
    </w:p>
    <w:p w:rsidR="000B5EE9" w:rsidRPr="0050035B" w:rsidRDefault="003F288B" w:rsidP="000B5EE9">
      <w:pPr>
        <w:spacing w:line="360" w:lineRule="auto"/>
        <w:ind w:firstLine="360"/>
        <w:jc w:val="both"/>
        <w:rPr>
          <w:rFonts w:ascii="Century Gothic" w:hAnsi="Century Gothic"/>
          <w:strike/>
          <w:szCs w:val="20"/>
          <w:lang w:val="es-MX"/>
        </w:rPr>
      </w:pPr>
      <w:r w:rsidRPr="0050035B">
        <w:rPr>
          <w:rFonts w:ascii="Century Gothic" w:hAnsi="Century Gothic"/>
          <w:szCs w:val="20"/>
          <w:lang w:val="es-MX"/>
        </w:rPr>
        <w:lastRenderedPageBreak/>
        <w:t>Derivado de los indicadores previstos en la tabla anterior, la tabla 3.7 presenta los recortes previstos a</w:t>
      </w:r>
      <w:r w:rsidR="00C84983" w:rsidRPr="0050035B">
        <w:rPr>
          <w:rFonts w:ascii="Century Gothic" w:hAnsi="Century Gothic"/>
          <w:szCs w:val="20"/>
          <w:lang w:val="es-MX"/>
        </w:rPr>
        <w:t xml:space="preserve">l rubro de Participaciones y Aportaciones </w:t>
      </w:r>
      <w:r w:rsidR="007A2622" w:rsidRPr="0050035B">
        <w:rPr>
          <w:rFonts w:ascii="Century Gothic" w:hAnsi="Century Gothic"/>
          <w:szCs w:val="20"/>
          <w:lang w:val="es-MX"/>
        </w:rPr>
        <w:t xml:space="preserve">del </w:t>
      </w:r>
      <w:r w:rsidR="007A1783" w:rsidRPr="0050035B">
        <w:rPr>
          <w:rFonts w:ascii="Century Gothic" w:hAnsi="Century Gothic"/>
          <w:szCs w:val="20"/>
          <w:lang w:val="es-MX"/>
        </w:rPr>
        <w:t xml:space="preserve">orden del </w:t>
      </w:r>
      <w:r w:rsidR="007A2622" w:rsidRPr="0050035B">
        <w:rPr>
          <w:rFonts w:ascii="Century Gothic" w:hAnsi="Century Gothic"/>
          <w:szCs w:val="20"/>
          <w:lang w:val="es-MX"/>
        </w:rPr>
        <w:t>5% en relación al Proyecto del Presupuesto de Egresos del año 2020 y del 5.5% en relación al Presupuesto Aprobado.</w:t>
      </w:r>
    </w:p>
    <w:p w:rsidR="00DF31E3" w:rsidRPr="0050035B" w:rsidRDefault="00DF31E3" w:rsidP="000B5EE9">
      <w:pPr>
        <w:spacing w:line="360" w:lineRule="auto"/>
        <w:ind w:firstLine="360"/>
        <w:jc w:val="both"/>
        <w:rPr>
          <w:rFonts w:ascii="Century Gothic" w:hAnsi="Century Gothic"/>
          <w:szCs w:val="20"/>
          <w:lang w:val="es-MX"/>
        </w:rPr>
      </w:pPr>
    </w:p>
    <w:p w:rsidR="000B5EE9" w:rsidRPr="0050035B" w:rsidRDefault="000B5EE9" w:rsidP="005645EC">
      <w:pPr>
        <w:spacing w:line="360" w:lineRule="auto"/>
        <w:ind w:left="851" w:right="310" w:firstLine="142"/>
        <w:jc w:val="center"/>
        <w:rPr>
          <w:rFonts w:ascii="Century Gothic" w:hAnsi="Century Gothic"/>
          <w:sz w:val="22"/>
          <w:szCs w:val="22"/>
          <w:lang w:val="es-MX"/>
        </w:rPr>
      </w:pPr>
      <w:r w:rsidRPr="0050035B">
        <w:rPr>
          <w:rFonts w:ascii="Century Gothic" w:hAnsi="Century Gothic"/>
          <w:b/>
          <w:sz w:val="22"/>
          <w:szCs w:val="22"/>
          <w:lang w:val="es-MX"/>
        </w:rPr>
        <w:t xml:space="preserve">Tabla </w:t>
      </w:r>
      <w:r w:rsidR="003E39D4" w:rsidRPr="0050035B">
        <w:rPr>
          <w:rFonts w:ascii="Century Gothic" w:hAnsi="Century Gothic"/>
          <w:b/>
          <w:sz w:val="22"/>
          <w:szCs w:val="22"/>
          <w:lang w:val="es-MX"/>
        </w:rPr>
        <w:t>3.7</w:t>
      </w:r>
      <w:r w:rsidRPr="0050035B">
        <w:rPr>
          <w:rFonts w:ascii="Century Gothic" w:hAnsi="Century Gothic"/>
          <w:b/>
          <w:sz w:val="22"/>
          <w:szCs w:val="22"/>
          <w:lang w:val="es-MX"/>
        </w:rPr>
        <w:t xml:space="preserve">. </w:t>
      </w:r>
      <w:r w:rsidRPr="0050035B">
        <w:rPr>
          <w:rFonts w:ascii="Century Gothic" w:hAnsi="Century Gothic"/>
          <w:sz w:val="22"/>
          <w:szCs w:val="22"/>
          <w:lang w:val="es-MX"/>
        </w:rPr>
        <w:t>Transferencias Intergubernamenta</w:t>
      </w:r>
      <w:r w:rsidR="007C259E" w:rsidRPr="0050035B">
        <w:rPr>
          <w:rFonts w:ascii="Century Gothic" w:hAnsi="Century Gothic"/>
          <w:sz w:val="22"/>
          <w:szCs w:val="22"/>
          <w:lang w:val="es-MX"/>
        </w:rPr>
        <w:t>les a Entidades Federativas 202</w:t>
      </w:r>
      <w:r w:rsidR="008F0A40">
        <w:rPr>
          <w:rFonts w:ascii="Century Gothic" w:hAnsi="Century Gothic"/>
          <w:sz w:val="22"/>
          <w:szCs w:val="22"/>
          <w:lang w:val="es-MX"/>
        </w:rPr>
        <w:t>1</w:t>
      </w:r>
      <w:r w:rsidRPr="0050035B">
        <w:rPr>
          <w:rFonts w:ascii="Century Gothic" w:hAnsi="Century Gothic"/>
          <w:sz w:val="22"/>
          <w:szCs w:val="22"/>
          <w:lang w:val="es-MX"/>
        </w:rPr>
        <w:t>-202</w:t>
      </w:r>
      <w:r w:rsidR="008F0A40">
        <w:rPr>
          <w:rFonts w:ascii="Century Gothic" w:hAnsi="Century Gothic"/>
          <w:sz w:val="22"/>
          <w:szCs w:val="22"/>
          <w:lang w:val="es-MX"/>
        </w:rPr>
        <w:t>2</w:t>
      </w:r>
      <w:r w:rsidRPr="0050035B">
        <w:rPr>
          <w:rFonts w:ascii="Century Gothic" w:hAnsi="Century Gothic"/>
          <w:sz w:val="22"/>
          <w:szCs w:val="22"/>
          <w:lang w:val="es-MX"/>
        </w:rPr>
        <w:t xml:space="preserve"> previstas en CGPE 202</w:t>
      </w:r>
      <w:r w:rsidR="008F0A40">
        <w:rPr>
          <w:rFonts w:ascii="Century Gothic" w:hAnsi="Century Gothic"/>
          <w:sz w:val="22"/>
          <w:szCs w:val="22"/>
          <w:lang w:val="es-MX"/>
        </w:rPr>
        <w:t>2</w:t>
      </w:r>
      <w:r w:rsidRPr="0050035B">
        <w:rPr>
          <w:rFonts w:ascii="Century Gothic" w:hAnsi="Century Gothic"/>
          <w:sz w:val="22"/>
          <w:szCs w:val="22"/>
          <w:lang w:val="es-MX"/>
        </w:rPr>
        <w:t>.</w:t>
      </w:r>
    </w:p>
    <w:p w:rsidR="003B7FEB" w:rsidRPr="0050035B" w:rsidRDefault="008F0A40" w:rsidP="005645EC">
      <w:pPr>
        <w:spacing w:line="360" w:lineRule="auto"/>
        <w:ind w:left="851" w:right="310" w:firstLine="142"/>
        <w:jc w:val="center"/>
        <w:rPr>
          <w:rFonts w:ascii="Century Gothic" w:hAnsi="Century Gothic"/>
          <w:sz w:val="22"/>
          <w:szCs w:val="22"/>
          <w:lang w:val="es-MX"/>
        </w:rPr>
      </w:pPr>
      <w:r w:rsidRPr="008F0A40">
        <w:rPr>
          <w:noProof/>
          <w:lang w:val="es-MX" w:eastAsia="es-MX"/>
        </w:rPr>
        <w:drawing>
          <wp:anchor distT="0" distB="0" distL="114300" distR="114300" simplePos="0" relativeHeight="251749376" behindDoc="1" locked="0" layoutInCell="1" allowOverlap="1" wp14:anchorId="3F76C11A" wp14:editId="78CCC10C">
            <wp:simplePos x="0" y="0"/>
            <wp:positionH relativeFrom="margin">
              <wp:align>center</wp:align>
            </wp:positionH>
            <wp:positionV relativeFrom="paragraph">
              <wp:posOffset>18415</wp:posOffset>
            </wp:positionV>
            <wp:extent cx="6047469" cy="1802921"/>
            <wp:effectExtent l="0" t="0" r="0" b="698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047469" cy="1802921"/>
                    </a:xfrm>
                    <a:prstGeom prst="rect">
                      <a:avLst/>
                    </a:prstGeom>
                  </pic:spPr>
                </pic:pic>
              </a:graphicData>
            </a:graphic>
            <wp14:sizeRelH relativeFrom="page">
              <wp14:pctWidth>0</wp14:pctWidth>
            </wp14:sizeRelH>
            <wp14:sizeRelV relativeFrom="page">
              <wp14:pctHeight>0</wp14:pctHeight>
            </wp14:sizeRelV>
          </wp:anchor>
        </w:drawing>
      </w:r>
    </w:p>
    <w:p w:rsidR="003B7FEB" w:rsidRPr="0050035B" w:rsidRDefault="003B7FEB" w:rsidP="005645EC">
      <w:pPr>
        <w:spacing w:line="360" w:lineRule="auto"/>
        <w:ind w:left="851" w:right="310" w:firstLine="142"/>
        <w:jc w:val="center"/>
        <w:rPr>
          <w:rFonts w:ascii="Century Gothic" w:hAnsi="Century Gothic"/>
          <w:sz w:val="22"/>
          <w:szCs w:val="22"/>
          <w:lang w:val="es-MX"/>
        </w:rPr>
      </w:pPr>
    </w:p>
    <w:p w:rsidR="003B7FEB" w:rsidRPr="0050035B" w:rsidRDefault="003B7FEB" w:rsidP="005645EC">
      <w:pPr>
        <w:spacing w:line="360" w:lineRule="auto"/>
        <w:ind w:left="851" w:right="310" w:firstLine="142"/>
        <w:jc w:val="center"/>
        <w:rPr>
          <w:rFonts w:ascii="Century Gothic" w:hAnsi="Century Gothic"/>
          <w:sz w:val="22"/>
          <w:szCs w:val="22"/>
          <w:lang w:val="es-MX"/>
        </w:rPr>
      </w:pPr>
    </w:p>
    <w:p w:rsidR="00C84983" w:rsidRPr="0050035B" w:rsidRDefault="00C84983" w:rsidP="005645EC">
      <w:pPr>
        <w:spacing w:line="360" w:lineRule="auto"/>
        <w:ind w:left="851" w:right="310" w:firstLine="142"/>
        <w:jc w:val="center"/>
        <w:rPr>
          <w:rFonts w:ascii="Century Gothic" w:hAnsi="Century Gothic"/>
          <w:szCs w:val="20"/>
          <w:lang w:val="es-MX"/>
        </w:rPr>
      </w:pPr>
    </w:p>
    <w:p w:rsidR="00D86274" w:rsidRPr="0050035B" w:rsidRDefault="00D86274" w:rsidP="003D5DC6">
      <w:pPr>
        <w:spacing w:line="360" w:lineRule="auto"/>
        <w:ind w:firstLine="360"/>
        <w:jc w:val="both"/>
        <w:rPr>
          <w:rFonts w:ascii="Century Gothic" w:hAnsi="Century Gothic"/>
          <w:szCs w:val="20"/>
          <w:lang w:val="es-MX"/>
        </w:rPr>
      </w:pPr>
    </w:p>
    <w:p w:rsidR="00DB36C2" w:rsidRPr="0050035B" w:rsidRDefault="00DB36C2" w:rsidP="000B5EE9">
      <w:pPr>
        <w:spacing w:line="360" w:lineRule="auto"/>
        <w:ind w:firstLine="720"/>
        <w:rPr>
          <w:rFonts w:ascii="Century Gothic" w:hAnsi="Century Gothic"/>
          <w:lang w:val="es-MX"/>
        </w:rPr>
      </w:pPr>
    </w:p>
    <w:p w:rsidR="007A1783" w:rsidRPr="0050035B" w:rsidRDefault="007A1783" w:rsidP="000B5EE9">
      <w:pPr>
        <w:spacing w:line="360" w:lineRule="auto"/>
        <w:ind w:firstLine="720"/>
        <w:rPr>
          <w:rFonts w:ascii="Century Gothic" w:hAnsi="Century Gothic"/>
          <w:lang w:val="es-MX"/>
        </w:rPr>
      </w:pPr>
    </w:p>
    <w:p w:rsidR="000B5EE9" w:rsidRPr="0050035B" w:rsidRDefault="000B5EE9" w:rsidP="00490E76">
      <w:pPr>
        <w:spacing w:line="360" w:lineRule="auto"/>
        <w:ind w:firstLine="720"/>
        <w:jc w:val="both"/>
        <w:rPr>
          <w:rFonts w:ascii="Century Gothic" w:hAnsi="Century Gothic"/>
          <w:lang w:val="es-MX"/>
        </w:rPr>
      </w:pPr>
      <w:r w:rsidRPr="0050035B">
        <w:rPr>
          <w:rFonts w:ascii="Century Gothic" w:hAnsi="Century Gothic"/>
          <w:lang w:val="es-MX"/>
        </w:rPr>
        <w:t xml:space="preserve">En consecuencia y bajo las consideraciones mencionadas a lo largo de esta sección, la proyección de </w:t>
      </w:r>
      <w:r w:rsidR="007530DF" w:rsidRPr="0050035B">
        <w:rPr>
          <w:rFonts w:ascii="Century Gothic" w:hAnsi="Century Gothic"/>
          <w:lang w:val="es-MX"/>
        </w:rPr>
        <w:t>ingresos</w:t>
      </w:r>
      <w:r w:rsidRPr="0050035B">
        <w:rPr>
          <w:rFonts w:ascii="Century Gothic" w:hAnsi="Century Gothic"/>
          <w:lang w:val="es-MX"/>
        </w:rPr>
        <w:t xml:space="preserve"> para el ejercicio fiscal 202</w:t>
      </w:r>
      <w:r w:rsidR="008F0A40">
        <w:rPr>
          <w:rFonts w:ascii="Century Gothic" w:hAnsi="Century Gothic"/>
          <w:lang w:val="es-MX"/>
        </w:rPr>
        <w:t>2</w:t>
      </w:r>
      <w:r w:rsidRPr="0050035B">
        <w:rPr>
          <w:rFonts w:ascii="Century Gothic" w:hAnsi="Century Gothic"/>
          <w:lang w:val="es-MX"/>
        </w:rPr>
        <w:t>, ha sido diseñada de manera puntual bajo las siguientes premisas:</w:t>
      </w:r>
    </w:p>
    <w:p w:rsidR="000B5EE9" w:rsidRPr="0050035B" w:rsidRDefault="000B5EE9" w:rsidP="00F845F1">
      <w:pPr>
        <w:pStyle w:val="Prrafodelista"/>
        <w:numPr>
          <w:ilvl w:val="0"/>
          <w:numId w:val="5"/>
        </w:numPr>
        <w:spacing w:line="360" w:lineRule="auto"/>
        <w:ind w:left="709" w:hanging="425"/>
        <w:jc w:val="both"/>
        <w:rPr>
          <w:rFonts w:ascii="Century Gothic" w:hAnsi="Century Gothic"/>
          <w:lang w:val="es-MX"/>
        </w:rPr>
      </w:pPr>
      <w:r w:rsidRPr="0050035B">
        <w:rPr>
          <w:rFonts w:ascii="Century Gothic" w:hAnsi="Century Gothic"/>
          <w:lang w:val="es-MX"/>
        </w:rPr>
        <w:t xml:space="preserve">PIB del </w:t>
      </w:r>
      <w:r w:rsidR="003B7FEB" w:rsidRPr="0050035B">
        <w:rPr>
          <w:rFonts w:ascii="Century Gothic" w:hAnsi="Century Gothic"/>
          <w:lang w:val="es-MX"/>
        </w:rPr>
        <w:t>4.</w:t>
      </w:r>
      <w:r w:rsidR="008F0A40">
        <w:rPr>
          <w:rFonts w:ascii="Century Gothic" w:hAnsi="Century Gothic"/>
          <w:lang w:val="es-MX"/>
        </w:rPr>
        <w:t>1</w:t>
      </w:r>
      <w:r w:rsidRPr="0050035B">
        <w:rPr>
          <w:rFonts w:ascii="Century Gothic" w:hAnsi="Century Gothic"/>
          <w:lang w:val="es-MX"/>
        </w:rPr>
        <w:t>%;</w:t>
      </w:r>
    </w:p>
    <w:p w:rsidR="000B5EE9" w:rsidRPr="0050035B" w:rsidRDefault="00E92294" w:rsidP="00F845F1">
      <w:pPr>
        <w:pStyle w:val="Prrafodelista"/>
        <w:numPr>
          <w:ilvl w:val="0"/>
          <w:numId w:val="5"/>
        </w:numPr>
        <w:spacing w:line="360" w:lineRule="auto"/>
        <w:ind w:left="709" w:hanging="425"/>
        <w:jc w:val="both"/>
        <w:rPr>
          <w:rFonts w:ascii="Century Gothic" w:hAnsi="Century Gothic"/>
          <w:lang w:val="es-MX"/>
        </w:rPr>
      </w:pPr>
      <w:r w:rsidRPr="0050035B">
        <w:rPr>
          <w:rFonts w:ascii="Century Gothic" w:hAnsi="Century Gothic"/>
          <w:lang w:val="es-MX"/>
        </w:rPr>
        <w:t xml:space="preserve">Inflación del </w:t>
      </w:r>
      <w:r w:rsidR="008F0A40">
        <w:rPr>
          <w:rFonts w:ascii="Century Gothic" w:hAnsi="Century Gothic"/>
          <w:lang w:val="es-MX"/>
        </w:rPr>
        <w:t>4.1</w:t>
      </w:r>
      <w:r w:rsidR="000B5EE9" w:rsidRPr="0050035B">
        <w:rPr>
          <w:rFonts w:ascii="Century Gothic" w:hAnsi="Century Gothic"/>
          <w:lang w:val="es-MX"/>
        </w:rPr>
        <w:t>%;</w:t>
      </w:r>
    </w:p>
    <w:p w:rsidR="000B5EE9" w:rsidRPr="0050035B" w:rsidRDefault="000B5EE9" w:rsidP="00F845F1">
      <w:pPr>
        <w:pStyle w:val="Prrafodelista"/>
        <w:numPr>
          <w:ilvl w:val="0"/>
          <w:numId w:val="5"/>
        </w:numPr>
        <w:spacing w:line="360" w:lineRule="auto"/>
        <w:ind w:left="709" w:hanging="425"/>
        <w:jc w:val="both"/>
        <w:rPr>
          <w:rFonts w:ascii="Century Gothic" w:hAnsi="Century Gothic"/>
          <w:lang w:val="es-MX"/>
        </w:rPr>
      </w:pPr>
      <w:r w:rsidRPr="0050035B">
        <w:rPr>
          <w:rFonts w:ascii="Century Gothic" w:hAnsi="Century Gothic"/>
          <w:lang w:val="es-MX"/>
        </w:rPr>
        <w:t xml:space="preserve">Precio Promedio de Barril de Petróleo de </w:t>
      </w:r>
      <w:r w:rsidR="008F0A40">
        <w:rPr>
          <w:rFonts w:ascii="Century Gothic" w:hAnsi="Century Gothic"/>
          <w:lang w:val="es-MX"/>
        </w:rPr>
        <w:t>55.1</w:t>
      </w:r>
      <w:r w:rsidR="003B7FEB" w:rsidRPr="0050035B">
        <w:rPr>
          <w:rFonts w:ascii="Century Gothic" w:hAnsi="Century Gothic"/>
          <w:lang w:val="es-MX"/>
        </w:rPr>
        <w:t xml:space="preserve"> </w:t>
      </w:r>
      <w:r w:rsidRPr="0050035B">
        <w:rPr>
          <w:rFonts w:ascii="Century Gothic" w:hAnsi="Century Gothic"/>
          <w:lang w:val="es-MX"/>
        </w:rPr>
        <w:t>Dólares Por Barril;</w:t>
      </w:r>
    </w:p>
    <w:p w:rsidR="000B5EE9" w:rsidRPr="0050035B" w:rsidRDefault="000B5EE9" w:rsidP="00F845F1">
      <w:pPr>
        <w:pStyle w:val="Prrafodelista"/>
        <w:numPr>
          <w:ilvl w:val="0"/>
          <w:numId w:val="5"/>
        </w:numPr>
        <w:spacing w:line="360" w:lineRule="auto"/>
        <w:ind w:left="709" w:hanging="425"/>
        <w:jc w:val="both"/>
        <w:rPr>
          <w:rFonts w:ascii="Century Gothic" w:hAnsi="Century Gothic"/>
          <w:lang w:val="es-MX"/>
        </w:rPr>
      </w:pPr>
      <w:r w:rsidRPr="0050035B">
        <w:rPr>
          <w:rFonts w:ascii="Century Gothic" w:hAnsi="Century Gothic"/>
          <w:lang w:val="es-MX"/>
        </w:rPr>
        <w:t xml:space="preserve">Tipo de Cambio de </w:t>
      </w:r>
      <w:r w:rsidR="008F0A40">
        <w:rPr>
          <w:rFonts w:ascii="Century Gothic" w:hAnsi="Century Gothic"/>
          <w:lang w:val="es-MX"/>
        </w:rPr>
        <w:t>20.3</w:t>
      </w:r>
      <w:r w:rsidR="003B7FEB" w:rsidRPr="0050035B">
        <w:rPr>
          <w:rFonts w:ascii="Century Gothic" w:hAnsi="Century Gothic"/>
          <w:lang w:val="es-MX"/>
        </w:rPr>
        <w:t xml:space="preserve"> Pesos</w:t>
      </w:r>
      <w:r w:rsidRPr="0050035B">
        <w:rPr>
          <w:rFonts w:ascii="Century Gothic" w:hAnsi="Century Gothic"/>
          <w:lang w:val="es-MX"/>
        </w:rPr>
        <w:t xml:space="preserve"> por Dólar;</w:t>
      </w:r>
    </w:p>
    <w:p w:rsidR="000B5EE9" w:rsidRPr="0050035B" w:rsidRDefault="000B5EE9" w:rsidP="00F845F1">
      <w:pPr>
        <w:pStyle w:val="Prrafodelista"/>
        <w:numPr>
          <w:ilvl w:val="0"/>
          <w:numId w:val="5"/>
        </w:numPr>
        <w:spacing w:line="360" w:lineRule="auto"/>
        <w:ind w:left="709" w:hanging="425"/>
        <w:jc w:val="both"/>
        <w:rPr>
          <w:rFonts w:ascii="Century Gothic" w:hAnsi="Century Gothic"/>
          <w:lang w:val="es-MX"/>
        </w:rPr>
      </w:pPr>
      <w:r w:rsidRPr="0050035B">
        <w:rPr>
          <w:rFonts w:ascii="Century Gothic" w:hAnsi="Century Gothic"/>
          <w:lang w:val="es-MX"/>
        </w:rPr>
        <w:t xml:space="preserve">UMA $ </w:t>
      </w:r>
      <w:r w:rsidR="008F0A40" w:rsidRPr="0050035B">
        <w:rPr>
          <w:rFonts w:ascii="Century Gothic" w:hAnsi="Century Gothic"/>
        </w:rPr>
        <w:t>8</w:t>
      </w:r>
      <w:r w:rsidR="008F0A40">
        <w:rPr>
          <w:rFonts w:ascii="Century Gothic" w:hAnsi="Century Gothic"/>
        </w:rPr>
        <w:t xml:space="preserve">9.62 </w:t>
      </w:r>
      <w:r w:rsidRPr="0050035B">
        <w:rPr>
          <w:rFonts w:ascii="Century Gothic" w:hAnsi="Century Gothic"/>
          <w:lang w:val="es-MX"/>
        </w:rPr>
        <w:t>Pesos;</w:t>
      </w:r>
    </w:p>
    <w:p w:rsidR="005645EC" w:rsidRDefault="005645EC" w:rsidP="008F0A40">
      <w:pPr>
        <w:spacing w:line="360" w:lineRule="auto"/>
        <w:jc w:val="both"/>
        <w:rPr>
          <w:rFonts w:ascii="Century Gothic" w:hAnsi="Century Gothic"/>
          <w:lang w:val="es-MX"/>
        </w:rPr>
      </w:pPr>
    </w:p>
    <w:p w:rsidR="008F0A40" w:rsidRDefault="008F0A40" w:rsidP="008F0A40">
      <w:pPr>
        <w:spacing w:line="360" w:lineRule="auto"/>
        <w:jc w:val="both"/>
        <w:rPr>
          <w:rFonts w:ascii="Century Gothic" w:hAnsi="Century Gothic"/>
          <w:lang w:val="es-MX"/>
        </w:rPr>
      </w:pPr>
      <w:r>
        <w:rPr>
          <w:rFonts w:ascii="Century Gothic" w:hAnsi="Century Gothic"/>
          <w:lang w:val="es-MX"/>
        </w:rPr>
        <w:t>En relación al paquete fiscal de la Federación, para fines específicos de las proyecciones de ingresos se toman en consideración los siguientes datos relevantes:</w:t>
      </w:r>
    </w:p>
    <w:p w:rsidR="008F0A40" w:rsidRPr="008F0A40" w:rsidRDefault="008F0A40" w:rsidP="00F845F1">
      <w:pPr>
        <w:pStyle w:val="Prrafodelista"/>
        <w:numPr>
          <w:ilvl w:val="0"/>
          <w:numId w:val="5"/>
        </w:numPr>
        <w:spacing w:line="360" w:lineRule="auto"/>
        <w:ind w:left="709" w:hanging="425"/>
        <w:jc w:val="both"/>
        <w:rPr>
          <w:rFonts w:ascii="Century Gothic" w:hAnsi="Century Gothic"/>
          <w:lang w:val="es-MX"/>
        </w:rPr>
      </w:pPr>
      <w:r w:rsidRPr="008F0A40">
        <w:rPr>
          <w:rFonts w:ascii="Century Gothic" w:hAnsi="Century Gothic"/>
          <w:lang w:val="es-MX"/>
        </w:rPr>
        <w:lastRenderedPageBreak/>
        <w:t>Las Participaciones a Entidades Federativas y Municipios</w:t>
      </w:r>
      <w:r>
        <w:rPr>
          <w:rStyle w:val="Refdenotaalpie"/>
          <w:rFonts w:ascii="Century Gothic" w:hAnsi="Century Gothic"/>
          <w:lang w:val="es-MX"/>
        </w:rPr>
        <w:footnoteReference w:id="44"/>
      </w:r>
      <w:r w:rsidRPr="008F0A40">
        <w:rPr>
          <w:rFonts w:ascii="Century Gothic" w:hAnsi="Century Gothic"/>
          <w:lang w:val="es-MX"/>
        </w:rPr>
        <w:t xml:space="preserve"> por si solas representan el mayor monto en el periodo referido, pues representan 48.3% del Gasto</w:t>
      </w:r>
      <w:r w:rsidR="007B0C1A">
        <w:rPr>
          <w:rFonts w:ascii="Century Gothic" w:hAnsi="Century Gothic"/>
          <w:lang w:val="es-MX"/>
        </w:rPr>
        <w:t xml:space="preserve"> Federalizado total, esto es, 1 millón </w:t>
      </w:r>
      <w:r w:rsidRPr="008F0A40">
        <w:rPr>
          <w:rFonts w:ascii="Century Gothic" w:hAnsi="Century Gothic"/>
          <w:lang w:val="es-MX"/>
        </w:rPr>
        <w:t>019 mil 490.0 MdP</w:t>
      </w:r>
    </w:p>
    <w:p w:rsidR="008F0A40" w:rsidRPr="008F0A40" w:rsidRDefault="008F0A40" w:rsidP="00F845F1">
      <w:pPr>
        <w:pStyle w:val="Prrafodelista"/>
        <w:numPr>
          <w:ilvl w:val="0"/>
          <w:numId w:val="5"/>
        </w:numPr>
        <w:spacing w:line="360" w:lineRule="auto"/>
        <w:ind w:left="709" w:hanging="425"/>
        <w:jc w:val="both"/>
        <w:rPr>
          <w:rFonts w:ascii="Century Gothic" w:hAnsi="Century Gothic"/>
          <w:lang w:val="es-MX"/>
        </w:rPr>
      </w:pPr>
      <w:r w:rsidRPr="008F0A40">
        <w:rPr>
          <w:rFonts w:ascii="Century Gothic" w:hAnsi="Century Gothic"/>
          <w:lang w:val="es-MX"/>
        </w:rPr>
        <w:t>PFEyM aumentan 6.7% en términos reales. De 955.6 MMP</w:t>
      </w:r>
      <w:r>
        <w:rPr>
          <w:rStyle w:val="Refdenotaalpie"/>
          <w:rFonts w:ascii="Century Gothic" w:hAnsi="Century Gothic"/>
          <w:lang w:val="es-MX"/>
        </w:rPr>
        <w:footnoteReference w:id="45"/>
      </w:r>
      <w:r w:rsidRPr="008F0A40">
        <w:rPr>
          <w:rFonts w:ascii="Century Gothic" w:hAnsi="Century Gothic"/>
          <w:lang w:val="es-MX"/>
        </w:rPr>
        <w:t xml:space="preserve"> a 1,019.5 MMP.</w:t>
      </w:r>
    </w:p>
    <w:p w:rsidR="008F0A40" w:rsidRPr="008F0A40" w:rsidRDefault="008F0A40" w:rsidP="00F845F1">
      <w:pPr>
        <w:pStyle w:val="Prrafodelista"/>
        <w:numPr>
          <w:ilvl w:val="0"/>
          <w:numId w:val="5"/>
        </w:numPr>
        <w:spacing w:line="360" w:lineRule="auto"/>
        <w:ind w:left="709" w:hanging="425"/>
        <w:jc w:val="both"/>
        <w:rPr>
          <w:rFonts w:ascii="Century Gothic" w:hAnsi="Century Gothic"/>
          <w:lang w:val="es-MX"/>
        </w:rPr>
      </w:pPr>
      <w:r w:rsidRPr="008F0A40">
        <w:rPr>
          <w:rFonts w:ascii="Century Gothic" w:hAnsi="Century Gothic"/>
          <w:lang w:val="es-MX"/>
        </w:rPr>
        <w:t>En total por Transferencia Federales</w:t>
      </w:r>
      <w:r>
        <w:rPr>
          <w:rStyle w:val="Refdenotaalpie"/>
          <w:rFonts w:ascii="Century Gothic" w:hAnsi="Century Gothic"/>
          <w:lang w:val="es-MX"/>
        </w:rPr>
        <w:footnoteReference w:id="46"/>
      </w:r>
      <w:r w:rsidRPr="008F0A40">
        <w:rPr>
          <w:rFonts w:ascii="Century Gothic" w:hAnsi="Century Gothic"/>
          <w:lang w:val="es-MX"/>
        </w:rPr>
        <w:t xml:space="preserve"> a entidades Federativas, hay un incremento de 4.7% pasando de 2,014.1 MMP en el PEFA 2021 a 2,108.9 MMP en el PPEF 2022.</w:t>
      </w:r>
    </w:p>
    <w:p w:rsidR="008F0A40" w:rsidRPr="008F0A40" w:rsidRDefault="008F0A40" w:rsidP="00F845F1">
      <w:pPr>
        <w:pStyle w:val="Prrafodelista"/>
        <w:numPr>
          <w:ilvl w:val="0"/>
          <w:numId w:val="5"/>
        </w:numPr>
        <w:spacing w:line="360" w:lineRule="auto"/>
        <w:ind w:left="709" w:hanging="425"/>
        <w:jc w:val="both"/>
        <w:rPr>
          <w:rFonts w:ascii="Century Gothic" w:hAnsi="Century Gothic"/>
          <w:lang w:val="es-MX"/>
        </w:rPr>
      </w:pPr>
      <w:r w:rsidRPr="008F0A40">
        <w:rPr>
          <w:rFonts w:ascii="Century Gothic" w:hAnsi="Century Gothic"/>
          <w:lang w:val="es-MX"/>
        </w:rPr>
        <w:t>Fondo de Fomento Municipal tiene un i</w:t>
      </w:r>
      <w:r w:rsidR="00F470D9">
        <w:rPr>
          <w:rFonts w:ascii="Century Gothic" w:hAnsi="Century Gothic"/>
          <w:lang w:val="es-MX"/>
        </w:rPr>
        <w:t>ncremento del 7.3%, con 3,772 Md</w:t>
      </w:r>
      <w:r w:rsidRPr="008F0A40">
        <w:rPr>
          <w:rFonts w:ascii="Century Gothic" w:hAnsi="Century Gothic"/>
          <w:lang w:val="es-MX"/>
        </w:rPr>
        <w:t>P, pasando de 33,517 MdP en el PEFA 2021 a 37,289.9 MdP para el PPEF 2022.</w:t>
      </w:r>
    </w:p>
    <w:p w:rsidR="008F0A40" w:rsidRPr="008F0A40" w:rsidRDefault="008F0A40" w:rsidP="00F845F1">
      <w:pPr>
        <w:pStyle w:val="Prrafodelista"/>
        <w:numPr>
          <w:ilvl w:val="0"/>
          <w:numId w:val="5"/>
        </w:numPr>
        <w:spacing w:line="360" w:lineRule="auto"/>
        <w:ind w:left="709" w:hanging="425"/>
        <w:jc w:val="both"/>
        <w:rPr>
          <w:rFonts w:ascii="Century Gothic" w:hAnsi="Century Gothic"/>
          <w:lang w:val="es-MX"/>
        </w:rPr>
      </w:pPr>
      <w:r w:rsidRPr="008F0A40">
        <w:rPr>
          <w:rFonts w:ascii="Century Gothic" w:hAnsi="Century Gothic"/>
          <w:lang w:val="es-MX"/>
        </w:rPr>
        <w:t>Infraestructura Social (FAIS) recibió un incremento del 7.3%, que representa un monto de 9,541.6 MdP, con un monto de 94,321.0 para el PPEF 2022 vs un monto de 84,779.4 en el PEFA 2021.</w:t>
      </w:r>
    </w:p>
    <w:p w:rsidR="008F0A40" w:rsidRPr="007B0C1A" w:rsidRDefault="008F0A40" w:rsidP="00F845F1">
      <w:pPr>
        <w:pStyle w:val="Prrafodelista"/>
        <w:numPr>
          <w:ilvl w:val="0"/>
          <w:numId w:val="5"/>
        </w:numPr>
        <w:spacing w:line="360" w:lineRule="auto"/>
        <w:ind w:left="709" w:hanging="425"/>
        <w:jc w:val="both"/>
        <w:rPr>
          <w:rFonts w:ascii="Century Gothic" w:hAnsi="Century Gothic"/>
          <w:lang w:val="es-MX"/>
        </w:rPr>
      </w:pPr>
      <w:r w:rsidRPr="008F0A40">
        <w:rPr>
          <w:rFonts w:ascii="Century Gothic" w:hAnsi="Century Gothic"/>
          <w:lang w:val="es-MX"/>
        </w:rPr>
        <w:t>Fortalecimiento de los Municipios (FORTAMUNDF), recibió un incremento del 7.3%, que representa un monto de 9,665.7 MdP, con un monto de 95,547.8 MdP</w:t>
      </w:r>
      <w:r w:rsidRPr="007B0C1A">
        <w:rPr>
          <w:rFonts w:ascii="Century Gothic" w:hAnsi="Century Gothic"/>
          <w:lang w:val="es-MX"/>
        </w:rPr>
        <w:t xml:space="preserve"> para el PPEF 2022 vs un monto de 85,882.1 MdP aprobados en el PEFA 2021.</w:t>
      </w:r>
    </w:p>
    <w:p w:rsidR="008F0A40" w:rsidRDefault="008F0A40" w:rsidP="008F0A40">
      <w:pPr>
        <w:spacing w:line="360" w:lineRule="auto"/>
        <w:jc w:val="both"/>
        <w:rPr>
          <w:rFonts w:ascii="Century Gothic" w:hAnsi="Century Gothic"/>
          <w:lang w:val="es-MX"/>
        </w:rPr>
      </w:pPr>
    </w:p>
    <w:p w:rsidR="008F0A40" w:rsidRPr="008F0A40" w:rsidRDefault="008F0A40" w:rsidP="008F0A40">
      <w:pPr>
        <w:spacing w:line="360" w:lineRule="auto"/>
        <w:jc w:val="both"/>
        <w:rPr>
          <w:rFonts w:ascii="Century Gothic" w:hAnsi="Century Gothic"/>
          <w:lang w:val="es-MX"/>
        </w:rPr>
      </w:pPr>
    </w:p>
    <w:p w:rsidR="008D7D5A" w:rsidRDefault="003B7FEB" w:rsidP="008D7D5A">
      <w:pPr>
        <w:rPr>
          <w:rFonts w:ascii="Century Gothic" w:hAnsi="Century Gothic"/>
          <w:lang w:val="es-MX"/>
        </w:rPr>
      </w:pPr>
      <w:r w:rsidRPr="0050035B">
        <w:rPr>
          <w:rFonts w:ascii="Century Gothic" w:hAnsi="Century Gothic"/>
          <w:lang w:val="es-MX"/>
        </w:rPr>
        <w:br w:type="page"/>
      </w:r>
      <w:r w:rsidR="002C6D7D" w:rsidRPr="0050035B">
        <w:rPr>
          <w:rFonts w:ascii="Century Gothic" w:hAnsi="Century Gothic"/>
          <w:lang w:val="es-MX"/>
        </w:rPr>
        <w:lastRenderedPageBreak/>
        <w:t xml:space="preserve">                     </w:t>
      </w:r>
      <w:r w:rsidR="007A2622" w:rsidRPr="0050035B">
        <w:rPr>
          <w:rFonts w:ascii="Century Gothic" w:hAnsi="Century Gothic"/>
          <w:b/>
          <w:sz w:val="22"/>
          <w:szCs w:val="22"/>
          <w:lang w:val="es-MX"/>
        </w:rPr>
        <w:t xml:space="preserve">Tabla 3.8. </w:t>
      </w:r>
      <w:r w:rsidR="007530DF" w:rsidRPr="0050035B">
        <w:rPr>
          <w:rFonts w:ascii="Century Gothic" w:hAnsi="Century Gothic"/>
          <w:sz w:val="22"/>
          <w:szCs w:val="22"/>
          <w:lang w:val="es-MX"/>
        </w:rPr>
        <w:t>Ingresos Presupuestarios Federales 2020-2021</w:t>
      </w:r>
    </w:p>
    <w:p w:rsidR="007A2622" w:rsidRPr="008D7D5A" w:rsidRDefault="005616D0" w:rsidP="008D7D5A">
      <w:pPr>
        <w:rPr>
          <w:rFonts w:ascii="Century Gothic" w:hAnsi="Century Gothic"/>
          <w:lang w:val="es-MX"/>
        </w:rPr>
      </w:pPr>
      <w:r>
        <w:rPr>
          <w:noProof/>
          <w:lang w:val="es-MX" w:eastAsia="es-MX"/>
        </w:rPr>
        <w:drawing>
          <wp:anchor distT="0" distB="0" distL="114300" distR="114300" simplePos="0" relativeHeight="251750400" behindDoc="1" locked="0" layoutInCell="1" allowOverlap="1" wp14:anchorId="34E7E211" wp14:editId="1CB0D90C">
            <wp:simplePos x="0" y="0"/>
            <wp:positionH relativeFrom="margin">
              <wp:align>right</wp:align>
            </wp:positionH>
            <wp:positionV relativeFrom="paragraph">
              <wp:posOffset>14162</wp:posOffset>
            </wp:positionV>
            <wp:extent cx="5597525" cy="3013075"/>
            <wp:effectExtent l="0" t="0" r="317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597525" cy="3013075"/>
                    </a:xfrm>
                    <a:prstGeom prst="rect">
                      <a:avLst/>
                    </a:prstGeom>
                  </pic:spPr>
                </pic:pic>
              </a:graphicData>
            </a:graphic>
          </wp:anchor>
        </w:drawing>
      </w:r>
    </w:p>
    <w:p w:rsidR="007A2622" w:rsidRPr="0050035B" w:rsidRDefault="007A2622" w:rsidP="00F439A3">
      <w:pPr>
        <w:spacing w:line="360" w:lineRule="auto"/>
        <w:jc w:val="both"/>
        <w:rPr>
          <w:rFonts w:ascii="Century Gothic" w:hAnsi="Century Gothic"/>
          <w:b/>
          <w:lang w:val="es-MX"/>
        </w:rPr>
      </w:pPr>
    </w:p>
    <w:p w:rsidR="007A2622" w:rsidRPr="0050035B" w:rsidRDefault="007A2622" w:rsidP="00F439A3">
      <w:pPr>
        <w:spacing w:line="360" w:lineRule="auto"/>
        <w:jc w:val="both"/>
        <w:rPr>
          <w:rFonts w:ascii="Century Gothic" w:hAnsi="Century Gothic"/>
          <w:b/>
          <w:lang w:val="es-MX"/>
        </w:rPr>
      </w:pPr>
    </w:p>
    <w:p w:rsidR="007A2622" w:rsidRPr="0050035B" w:rsidRDefault="007A2622" w:rsidP="00F439A3">
      <w:pPr>
        <w:spacing w:line="360" w:lineRule="auto"/>
        <w:jc w:val="both"/>
        <w:rPr>
          <w:rFonts w:ascii="Century Gothic" w:hAnsi="Century Gothic"/>
          <w:b/>
          <w:lang w:val="es-MX"/>
        </w:rPr>
      </w:pPr>
    </w:p>
    <w:p w:rsidR="007A2622" w:rsidRPr="0050035B" w:rsidRDefault="007A2622" w:rsidP="00F439A3">
      <w:pPr>
        <w:spacing w:line="360" w:lineRule="auto"/>
        <w:jc w:val="both"/>
        <w:rPr>
          <w:rFonts w:ascii="Century Gothic" w:hAnsi="Century Gothic"/>
          <w:b/>
          <w:lang w:val="es-MX"/>
        </w:rPr>
      </w:pPr>
    </w:p>
    <w:p w:rsidR="007A2622" w:rsidRPr="0050035B" w:rsidRDefault="007A2622" w:rsidP="00F439A3">
      <w:pPr>
        <w:spacing w:line="360" w:lineRule="auto"/>
        <w:jc w:val="both"/>
        <w:rPr>
          <w:rFonts w:ascii="Century Gothic" w:hAnsi="Century Gothic"/>
          <w:b/>
          <w:lang w:val="es-MX"/>
        </w:rPr>
      </w:pPr>
    </w:p>
    <w:p w:rsidR="007A2622" w:rsidRPr="0050035B" w:rsidRDefault="007A2622" w:rsidP="00F439A3">
      <w:pPr>
        <w:spacing w:line="360" w:lineRule="auto"/>
        <w:jc w:val="both"/>
        <w:rPr>
          <w:rFonts w:ascii="Century Gothic" w:hAnsi="Century Gothic"/>
          <w:b/>
          <w:lang w:val="es-MX"/>
        </w:rPr>
      </w:pPr>
    </w:p>
    <w:p w:rsidR="007A2622" w:rsidRPr="0050035B" w:rsidRDefault="007A2622" w:rsidP="00F439A3">
      <w:pPr>
        <w:spacing w:line="360" w:lineRule="auto"/>
        <w:jc w:val="both"/>
        <w:rPr>
          <w:rFonts w:ascii="Century Gothic" w:hAnsi="Century Gothic"/>
          <w:b/>
          <w:lang w:val="es-MX"/>
        </w:rPr>
      </w:pPr>
    </w:p>
    <w:p w:rsidR="007A2622" w:rsidRPr="0050035B" w:rsidRDefault="007A2622" w:rsidP="00F439A3">
      <w:pPr>
        <w:spacing w:line="360" w:lineRule="auto"/>
        <w:jc w:val="both"/>
        <w:rPr>
          <w:rFonts w:ascii="Century Gothic" w:hAnsi="Century Gothic"/>
          <w:b/>
          <w:lang w:val="es-MX"/>
        </w:rPr>
      </w:pPr>
    </w:p>
    <w:p w:rsidR="007A2622" w:rsidRPr="0050035B" w:rsidRDefault="007A2622" w:rsidP="00F439A3">
      <w:pPr>
        <w:spacing w:line="360" w:lineRule="auto"/>
        <w:jc w:val="both"/>
        <w:rPr>
          <w:rFonts w:ascii="Century Gothic" w:hAnsi="Century Gothic"/>
          <w:b/>
          <w:lang w:val="es-MX"/>
        </w:rPr>
      </w:pPr>
    </w:p>
    <w:p w:rsidR="007A2622" w:rsidRPr="0050035B" w:rsidRDefault="007A2622" w:rsidP="00F439A3">
      <w:pPr>
        <w:spacing w:line="360" w:lineRule="auto"/>
        <w:jc w:val="both"/>
        <w:rPr>
          <w:rFonts w:ascii="Century Gothic" w:hAnsi="Century Gothic"/>
          <w:b/>
          <w:lang w:val="es-MX"/>
        </w:rPr>
      </w:pPr>
    </w:p>
    <w:p w:rsidR="008D7D5A" w:rsidRDefault="008D7D5A" w:rsidP="00F439A3">
      <w:pPr>
        <w:spacing w:line="360" w:lineRule="auto"/>
        <w:jc w:val="both"/>
        <w:rPr>
          <w:rFonts w:ascii="Century Gothic" w:hAnsi="Century Gothic"/>
          <w:b/>
          <w:lang w:val="es-MX"/>
        </w:rPr>
      </w:pPr>
    </w:p>
    <w:p w:rsidR="004C0FD5" w:rsidRPr="0050035B" w:rsidRDefault="004C0FD5" w:rsidP="00F439A3">
      <w:pPr>
        <w:spacing w:line="360" w:lineRule="auto"/>
        <w:jc w:val="both"/>
        <w:rPr>
          <w:rFonts w:ascii="Century Gothic" w:hAnsi="Century Gothic"/>
          <w:b/>
          <w:lang w:val="es-MX"/>
        </w:rPr>
      </w:pPr>
      <w:r w:rsidRPr="0050035B">
        <w:rPr>
          <w:rFonts w:ascii="Century Gothic" w:hAnsi="Century Gothic"/>
          <w:b/>
          <w:lang w:val="es-MX"/>
        </w:rPr>
        <w:t>3.</w:t>
      </w:r>
      <w:r w:rsidR="00B9107D">
        <w:rPr>
          <w:rFonts w:ascii="Century Gothic" w:hAnsi="Century Gothic"/>
          <w:b/>
          <w:lang w:val="es-MX"/>
        </w:rPr>
        <w:t>6</w:t>
      </w:r>
      <w:r w:rsidRPr="0050035B">
        <w:rPr>
          <w:rFonts w:ascii="Century Gothic" w:hAnsi="Century Gothic"/>
          <w:b/>
          <w:lang w:val="es-MX"/>
        </w:rPr>
        <w:t>. Objetivos de la Política de Ingresos</w:t>
      </w:r>
    </w:p>
    <w:p w:rsidR="005616D0" w:rsidRDefault="005616D0" w:rsidP="002517D4">
      <w:pPr>
        <w:pStyle w:val="Prrafodelista"/>
        <w:spacing w:line="360" w:lineRule="auto"/>
        <w:ind w:left="0"/>
        <w:jc w:val="both"/>
        <w:rPr>
          <w:rFonts w:ascii="Century Gothic" w:hAnsi="Century Gothic"/>
          <w:lang w:val="es-MX"/>
        </w:rPr>
      </w:pPr>
      <w:r>
        <w:rPr>
          <w:rFonts w:ascii="Century Gothic" w:hAnsi="Century Gothic"/>
          <w:lang w:val="es-MX"/>
        </w:rPr>
        <w:t xml:space="preserve">Para el año fiscal 2022 la política de ingresos del </w:t>
      </w:r>
      <w:r w:rsidR="00786E93">
        <w:rPr>
          <w:rFonts w:ascii="Century Gothic" w:hAnsi="Century Gothic"/>
          <w:lang w:val="es-MX"/>
        </w:rPr>
        <w:t xml:space="preserve">Municipio </w:t>
      </w:r>
      <w:r>
        <w:rPr>
          <w:rFonts w:ascii="Century Gothic" w:hAnsi="Century Gothic"/>
          <w:lang w:val="es-MX"/>
        </w:rPr>
        <w:t xml:space="preserve">de </w:t>
      </w:r>
      <w:r w:rsidR="00C62E98">
        <w:rPr>
          <w:rFonts w:ascii="Century Gothic" w:hAnsi="Century Gothic"/>
          <w:lang w:val="es-MX"/>
        </w:rPr>
        <w:t>Monterrey</w:t>
      </w:r>
      <w:r>
        <w:rPr>
          <w:rFonts w:ascii="Century Gothic" w:hAnsi="Century Gothic"/>
          <w:lang w:val="es-MX"/>
        </w:rPr>
        <w:t xml:space="preserve"> se sustentará en el Fortalecimiento de la Hacienda Municipal, de manera específica:</w:t>
      </w:r>
    </w:p>
    <w:p w:rsidR="005616D0" w:rsidRDefault="005616D0" w:rsidP="00F845F1">
      <w:pPr>
        <w:pStyle w:val="Prrafodelista"/>
        <w:numPr>
          <w:ilvl w:val="0"/>
          <w:numId w:val="12"/>
        </w:numPr>
        <w:spacing w:line="360" w:lineRule="auto"/>
        <w:jc w:val="both"/>
        <w:rPr>
          <w:rFonts w:ascii="Century Gothic" w:hAnsi="Century Gothic"/>
          <w:lang w:val="es-MX"/>
        </w:rPr>
      </w:pPr>
      <w:r>
        <w:rPr>
          <w:rFonts w:ascii="Century Gothic" w:hAnsi="Century Gothic"/>
          <w:lang w:val="es-MX"/>
        </w:rPr>
        <w:t xml:space="preserve">Mediante el uso de las herramientas y tecnologías </w:t>
      </w:r>
      <w:r w:rsidR="00422E10">
        <w:rPr>
          <w:rFonts w:ascii="Century Gothic" w:hAnsi="Century Gothic"/>
          <w:lang w:val="es-MX"/>
        </w:rPr>
        <w:t>de vanguardia, así como la optimización del recurso humano disponible</w:t>
      </w:r>
      <w:r>
        <w:rPr>
          <w:rFonts w:ascii="Century Gothic" w:hAnsi="Century Gothic"/>
          <w:lang w:val="es-MX"/>
        </w:rPr>
        <w:t xml:space="preserve">; </w:t>
      </w:r>
    </w:p>
    <w:p w:rsidR="005616D0" w:rsidRDefault="005616D0" w:rsidP="00F845F1">
      <w:pPr>
        <w:pStyle w:val="Prrafodelista"/>
        <w:numPr>
          <w:ilvl w:val="0"/>
          <w:numId w:val="12"/>
        </w:numPr>
        <w:spacing w:line="360" w:lineRule="auto"/>
        <w:jc w:val="both"/>
        <w:rPr>
          <w:rFonts w:ascii="Century Gothic" w:hAnsi="Century Gothic"/>
          <w:lang w:val="es-MX"/>
        </w:rPr>
      </w:pPr>
      <w:r>
        <w:rPr>
          <w:rFonts w:ascii="Century Gothic" w:hAnsi="Century Gothic"/>
          <w:lang w:val="es-MX"/>
        </w:rPr>
        <w:t xml:space="preserve">El aprovechamiento de mecanismos de colaboración con instancias estatales y federales, así como </w:t>
      </w:r>
      <w:r w:rsidR="00422E10">
        <w:rPr>
          <w:rFonts w:ascii="Century Gothic" w:hAnsi="Century Gothic"/>
          <w:lang w:val="es-MX"/>
        </w:rPr>
        <w:t>la identificación de</w:t>
      </w:r>
      <w:r>
        <w:rPr>
          <w:rFonts w:ascii="Century Gothic" w:hAnsi="Century Gothic"/>
          <w:lang w:val="es-MX"/>
        </w:rPr>
        <w:t xml:space="preserve"> posibles mecanismos internacionales, encaminados a mejorar la captación de ingresos para el municipio.</w:t>
      </w:r>
    </w:p>
    <w:p w:rsidR="005616D0" w:rsidRDefault="005616D0" w:rsidP="00F845F1">
      <w:pPr>
        <w:pStyle w:val="Prrafodelista"/>
        <w:numPr>
          <w:ilvl w:val="0"/>
          <w:numId w:val="12"/>
        </w:numPr>
        <w:spacing w:line="360" w:lineRule="auto"/>
        <w:jc w:val="both"/>
        <w:rPr>
          <w:rFonts w:ascii="Century Gothic" w:hAnsi="Century Gothic"/>
          <w:lang w:val="es-MX"/>
        </w:rPr>
      </w:pPr>
      <w:r>
        <w:rPr>
          <w:rFonts w:ascii="Century Gothic" w:hAnsi="Century Gothic"/>
          <w:lang w:val="es-MX"/>
        </w:rPr>
        <w:t>Mantener una autonomía financiera municipal se vuelve prioritario, motivo por el cual se buscará el fortalecimiento de la eficiencia y eficacia recaudatoria para obtener mayores ingresos propios, con lo cual se obtendrá el beneficio extra de presentar mejores indicadores que beneficien al momento de la distribución de recursos federales.</w:t>
      </w:r>
    </w:p>
    <w:p w:rsidR="005616D0" w:rsidRDefault="005616D0" w:rsidP="00F845F1">
      <w:pPr>
        <w:pStyle w:val="Prrafodelista"/>
        <w:numPr>
          <w:ilvl w:val="0"/>
          <w:numId w:val="12"/>
        </w:numPr>
        <w:spacing w:line="360" w:lineRule="auto"/>
        <w:jc w:val="both"/>
        <w:rPr>
          <w:rFonts w:ascii="Century Gothic" w:hAnsi="Century Gothic"/>
          <w:lang w:val="es-MX"/>
        </w:rPr>
      </w:pPr>
      <w:r w:rsidRPr="005616D0">
        <w:rPr>
          <w:rFonts w:ascii="Century Gothic" w:hAnsi="Century Gothic"/>
          <w:lang w:val="es-MX"/>
        </w:rPr>
        <w:lastRenderedPageBreak/>
        <w:t>También se mantendrá</w:t>
      </w:r>
      <w:r w:rsidR="002517D4" w:rsidRPr="005616D0">
        <w:rPr>
          <w:rFonts w:ascii="Century Gothic" w:hAnsi="Century Gothic"/>
          <w:lang w:val="es-MX"/>
        </w:rPr>
        <w:t xml:space="preserve"> una disciplina financiera apegada a los</w:t>
      </w:r>
      <w:r w:rsidR="00D54F62" w:rsidRPr="005616D0">
        <w:rPr>
          <w:rFonts w:ascii="Century Gothic" w:hAnsi="Century Gothic"/>
          <w:lang w:val="es-MX"/>
        </w:rPr>
        <w:t xml:space="preserve"> </w:t>
      </w:r>
      <w:r w:rsidR="004C0FD5" w:rsidRPr="005616D0">
        <w:rPr>
          <w:rFonts w:ascii="Century Gothic" w:hAnsi="Century Gothic"/>
          <w:lang w:val="es-MX"/>
        </w:rPr>
        <w:t>criterios de racion</w:t>
      </w:r>
      <w:r w:rsidR="002517D4" w:rsidRPr="005616D0">
        <w:rPr>
          <w:rFonts w:ascii="Century Gothic" w:hAnsi="Century Gothic"/>
          <w:lang w:val="es-MX"/>
        </w:rPr>
        <w:t>alidad y austeridad, que permita</w:t>
      </w:r>
      <w:r w:rsidR="004C0FD5" w:rsidRPr="005616D0">
        <w:rPr>
          <w:rFonts w:ascii="Century Gothic" w:hAnsi="Century Gothic"/>
          <w:lang w:val="es-MX"/>
        </w:rPr>
        <w:t xml:space="preserve"> lograr una mayor eficiencia </w:t>
      </w:r>
      <w:r w:rsidR="002517D4" w:rsidRPr="005616D0">
        <w:rPr>
          <w:rFonts w:ascii="Century Gothic" w:hAnsi="Century Gothic"/>
          <w:lang w:val="es-MX"/>
        </w:rPr>
        <w:t>del uso de</w:t>
      </w:r>
      <w:r w:rsidR="004C0FD5" w:rsidRPr="005616D0">
        <w:rPr>
          <w:rFonts w:ascii="Century Gothic" w:hAnsi="Century Gothic"/>
          <w:lang w:val="es-MX"/>
        </w:rPr>
        <w:t xml:space="preserve"> los recursos públic</w:t>
      </w:r>
      <w:r w:rsidR="002517D4" w:rsidRPr="005616D0">
        <w:rPr>
          <w:rFonts w:ascii="Century Gothic" w:hAnsi="Century Gothic"/>
          <w:lang w:val="es-MX"/>
        </w:rPr>
        <w:t xml:space="preserve">os. De manera que esto </w:t>
      </w:r>
      <w:r w:rsidR="00422E10">
        <w:rPr>
          <w:rFonts w:ascii="Century Gothic" w:hAnsi="Century Gothic"/>
          <w:lang w:val="es-MX"/>
        </w:rPr>
        <w:t>contribuya</w:t>
      </w:r>
      <w:r w:rsidR="002517D4" w:rsidRPr="005616D0">
        <w:rPr>
          <w:rFonts w:ascii="Century Gothic" w:hAnsi="Century Gothic"/>
          <w:lang w:val="es-MX"/>
        </w:rPr>
        <w:t xml:space="preserve"> </w:t>
      </w:r>
      <w:r w:rsidR="00422E10">
        <w:rPr>
          <w:rFonts w:ascii="Century Gothic" w:hAnsi="Century Gothic"/>
          <w:lang w:val="es-MX"/>
        </w:rPr>
        <w:t>a</w:t>
      </w:r>
      <w:r w:rsidR="002517D4" w:rsidRPr="005616D0">
        <w:rPr>
          <w:rFonts w:ascii="Century Gothic" w:hAnsi="Century Gothic"/>
          <w:lang w:val="es-MX"/>
        </w:rPr>
        <w:t>l cumplimiento de la</w:t>
      </w:r>
      <w:r w:rsidR="004C0FD5" w:rsidRPr="005616D0">
        <w:rPr>
          <w:rFonts w:ascii="Century Gothic" w:hAnsi="Century Gothic"/>
          <w:lang w:val="es-MX"/>
        </w:rPr>
        <w:t xml:space="preserve">s metas y objetivos de la </w:t>
      </w:r>
      <w:r w:rsidR="002517D4" w:rsidRPr="005616D0">
        <w:rPr>
          <w:rFonts w:ascii="Century Gothic" w:hAnsi="Century Gothic"/>
          <w:lang w:val="es-MX"/>
        </w:rPr>
        <w:t xml:space="preserve">administración municipal en beneficio de todos </w:t>
      </w:r>
      <w:r w:rsidRPr="005616D0">
        <w:rPr>
          <w:rFonts w:ascii="Century Gothic" w:hAnsi="Century Gothic"/>
          <w:lang w:val="es-MX"/>
        </w:rPr>
        <w:t>los vecinos y ciudadanos regiomontanos</w:t>
      </w:r>
      <w:r w:rsidR="002517D4" w:rsidRPr="005616D0">
        <w:rPr>
          <w:rFonts w:ascii="Century Gothic" w:hAnsi="Century Gothic"/>
          <w:lang w:val="es-MX"/>
        </w:rPr>
        <w:t xml:space="preserve">. </w:t>
      </w:r>
    </w:p>
    <w:p w:rsidR="008D7D5A" w:rsidRPr="008D7D5A" w:rsidRDefault="004C0FD5" w:rsidP="008D7D5A">
      <w:pPr>
        <w:pStyle w:val="Prrafodelista"/>
        <w:numPr>
          <w:ilvl w:val="0"/>
          <w:numId w:val="12"/>
        </w:numPr>
        <w:spacing w:line="360" w:lineRule="auto"/>
        <w:ind w:hanging="294"/>
        <w:jc w:val="both"/>
        <w:rPr>
          <w:rFonts w:ascii="Century Gothic" w:hAnsi="Century Gothic"/>
          <w:lang w:val="es-MX"/>
        </w:rPr>
      </w:pPr>
      <w:r w:rsidRPr="008D7D5A">
        <w:rPr>
          <w:rFonts w:ascii="Century Gothic" w:hAnsi="Century Gothic"/>
          <w:lang w:val="es-MX"/>
        </w:rPr>
        <w:t xml:space="preserve">También se </w:t>
      </w:r>
      <w:r w:rsidR="005616D0" w:rsidRPr="008D7D5A">
        <w:rPr>
          <w:rFonts w:ascii="Century Gothic" w:hAnsi="Century Gothic"/>
          <w:lang w:val="es-MX"/>
        </w:rPr>
        <w:t>buscará brindar suficientes recursos públicos para</w:t>
      </w:r>
      <w:r w:rsidRPr="008D7D5A">
        <w:rPr>
          <w:rFonts w:ascii="Century Gothic" w:hAnsi="Century Gothic"/>
          <w:lang w:val="es-MX"/>
        </w:rPr>
        <w:t xml:space="preserve"> todos los rubros del quehacer gubernamental municipal, sin descuidar los compromisos financieros que la administración municipal tiene en el marco de los contratos y convenios respectivos, así como </w:t>
      </w:r>
      <w:r w:rsidR="005616D0" w:rsidRPr="008D7D5A">
        <w:rPr>
          <w:rFonts w:ascii="Century Gothic" w:hAnsi="Century Gothic"/>
          <w:lang w:val="es-MX"/>
        </w:rPr>
        <w:t xml:space="preserve">los derivados de la </w:t>
      </w:r>
      <w:r w:rsidRPr="008D7D5A">
        <w:rPr>
          <w:rFonts w:ascii="Century Gothic" w:hAnsi="Century Gothic"/>
          <w:lang w:val="es-MX"/>
        </w:rPr>
        <w:t>deuda pública.</w:t>
      </w:r>
    </w:p>
    <w:p w:rsidR="00B116D7" w:rsidRPr="008D7D5A" w:rsidRDefault="00B116D7" w:rsidP="008D7D5A">
      <w:pPr>
        <w:pStyle w:val="Prrafodelista"/>
        <w:numPr>
          <w:ilvl w:val="0"/>
          <w:numId w:val="12"/>
        </w:numPr>
        <w:spacing w:line="360" w:lineRule="auto"/>
        <w:ind w:hanging="294"/>
        <w:jc w:val="both"/>
        <w:rPr>
          <w:rFonts w:ascii="Century Gothic" w:hAnsi="Century Gothic"/>
          <w:lang w:val="es-MX"/>
        </w:rPr>
      </w:pPr>
      <w:r w:rsidRPr="008D7D5A">
        <w:rPr>
          <w:rFonts w:ascii="Century Gothic" w:hAnsi="Century Gothic"/>
          <w:lang w:val="es-MX"/>
        </w:rPr>
        <w:t xml:space="preserve"> Es importante reiterar que en el Municipio de Monterrey se están priorizando también las actividades de la administración municipal hacia la prevención de riesgos de contagio, auxilio, apoyo y atención a la población.</w:t>
      </w:r>
    </w:p>
    <w:p w:rsidR="004C0FD5" w:rsidRPr="0050035B" w:rsidRDefault="004C0FD5" w:rsidP="004C0FD5">
      <w:pPr>
        <w:pStyle w:val="Prrafodelista"/>
        <w:spacing w:line="360" w:lineRule="auto"/>
        <w:ind w:left="0" w:firstLine="720"/>
        <w:jc w:val="both"/>
        <w:rPr>
          <w:rFonts w:ascii="Century Gothic" w:hAnsi="Century Gothic"/>
          <w:b/>
          <w:lang w:val="es-MX"/>
        </w:rPr>
      </w:pPr>
    </w:p>
    <w:p w:rsidR="00525451" w:rsidRPr="0050035B" w:rsidRDefault="00E17F3E" w:rsidP="00F439A3">
      <w:pPr>
        <w:spacing w:line="360" w:lineRule="auto"/>
        <w:jc w:val="both"/>
        <w:rPr>
          <w:rFonts w:ascii="Century Gothic" w:hAnsi="Century Gothic"/>
          <w:b/>
          <w:lang w:val="es-MX"/>
        </w:rPr>
      </w:pPr>
      <w:r w:rsidRPr="0050035B">
        <w:rPr>
          <w:rFonts w:ascii="Century Gothic" w:hAnsi="Century Gothic"/>
          <w:b/>
          <w:lang w:val="es-MX"/>
        </w:rPr>
        <w:t>3.</w:t>
      </w:r>
      <w:r w:rsidR="00B9107D">
        <w:rPr>
          <w:rFonts w:ascii="Century Gothic" w:hAnsi="Century Gothic"/>
          <w:b/>
          <w:lang w:val="es-MX"/>
        </w:rPr>
        <w:t>7</w:t>
      </w:r>
      <w:r w:rsidR="000D24A0" w:rsidRPr="0050035B">
        <w:rPr>
          <w:rFonts w:ascii="Century Gothic" w:hAnsi="Century Gothic"/>
          <w:b/>
          <w:lang w:val="es-MX"/>
        </w:rPr>
        <w:t xml:space="preserve">.   </w:t>
      </w:r>
      <w:r w:rsidR="00525451" w:rsidRPr="0050035B">
        <w:rPr>
          <w:rFonts w:ascii="Century Gothic" w:hAnsi="Century Gothic"/>
          <w:b/>
          <w:lang w:val="es-MX"/>
        </w:rPr>
        <w:t xml:space="preserve">Política de </w:t>
      </w:r>
      <w:r w:rsidR="00D86274" w:rsidRPr="0050035B">
        <w:rPr>
          <w:rFonts w:ascii="Century Gothic" w:hAnsi="Century Gothic"/>
          <w:b/>
          <w:lang w:val="es-MX"/>
        </w:rPr>
        <w:t>Financiamiento</w:t>
      </w:r>
      <w:r w:rsidR="00525451" w:rsidRPr="0050035B">
        <w:rPr>
          <w:rFonts w:ascii="Century Gothic" w:hAnsi="Century Gothic"/>
          <w:b/>
          <w:lang w:val="es-MX"/>
        </w:rPr>
        <w:t xml:space="preserve"> en el Municipio de Monterrey</w:t>
      </w:r>
      <w:r w:rsidR="00E6604E" w:rsidRPr="0050035B">
        <w:rPr>
          <w:rFonts w:ascii="Century Gothic" w:hAnsi="Century Gothic"/>
          <w:b/>
          <w:lang w:val="es-MX"/>
        </w:rPr>
        <w:t xml:space="preserve"> </w:t>
      </w:r>
    </w:p>
    <w:p w:rsidR="00A34BA0" w:rsidRPr="0050035B" w:rsidRDefault="00480820" w:rsidP="00E6604E">
      <w:pPr>
        <w:spacing w:line="360" w:lineRule="auto"/>
        <w:jc w:val="both"/>
        <w:rPr>
          <w:rFonts w:ascii="Century Gothic" w:hAnsi="Century Gothic"/>
          <w:lang w:val="es-MX"/>
        </w:rPr>
      </w:pPr>
      <w:r w:rsidRPr="0050035B">
        <w:rPr>
          <w:rFonts w:ascii="Century Gothic" w:hAnsi="Century Gothic"/>
          <w:lang w:val="es-MX"/>
        </w:rPr>
        <w:t xml:space="preserve">El proyecto que aquí se presenta incluye dentro de sus proyecciones, una propuesta de solicitud de financiamiento al </w:t>
      </w:r>
      <w:r w:rsidR="006432BD" w:rsidRPr="0050035B">
        <w:rPr>
          <w:rFonts w:ascii="Century Gothic" w:hAnsi="Century Gothic"/>
          <w:lang w:val="es-MX"/>
        </w:rPr>
        <w:t xml:space="preserve">H. </w:t>
      </w:r>
      <w:r w:rsidRPr="0050035B">
        <w:rPr>
          <w:rFonts w:ascii="Century Gothic" w:hAnsi="Century Gothic"/>
          <w:lang w:val="es-MX"/>
        </w:rPr>
        <w:t xml:space="preserve">Congreso del Estado, con apego a lo </w:t>
      </w:r>
      <w:r w:rsidR="00E6604E" w:rsidRPr="0050035B">
        <w:rPr>
          <w:rFonts w:ascii="Century Gothic" w:hAnsi="Century Gothic"/>
          <w:lang w:val="es-MX"/>
        </w:rPr>
        <w:t>establecido</w:t>
      </w:r>
      <w:r w:rsidRPr="0050035B">
        <w:rPr>
          <w:rFonts w:ascii="Century Gothic" w:hAnsi="Century Gothic"/>
          <w:lang w:val="es-MX"/>
        </w:rPr>
        <w:t xml:space="preserve"> en la Ley de </w:t>
      </w:r>
      <w:r w:rsidR="00E6604E" w:rsidRPr="0050035B">
        <w:rPr>
          <w:rFonts w:ascii="Century Gothic" w:hAnsi="Century Gothic"/>
          <w:lang w:val="es-MX"/>
        </w:rPr>
        <w:t>Disciplina</w:t>
      </w:r>
      <w:r w:rsidRPr="0050035B">
        <w:rPr>
          <w:rFonts w:ascii="Century Gothic" w:hAnsi="Century Gothic"/>
          <w:lang w:val="es-MX"/>
        </w:rPr>
        <w:t xml:space="preserve"> Financiera </w:t>
      </w:r>
      <w:r w:rsidR="003D0310" w:rsidRPr="0050035B">
        <w:rPr>
          <w:rFonts w:ascii="Century Gothic" w:hAnsi="Century Gothic"/>
          <w:lang w:val="es-MX"/>
        </w:rPr>
        <w:t>de</w:t>
      </w:r>
      <w:r w:rsidRPr="0050035B">
        <w:rPr>
          <w:rFonts w:ascii="Century Gothic" w:hAnsi="Century Gothic"/>
          <w:lang w:val="es-MX"/>
        </w:rPr>
        <w:t xml:space="preserve"> las Entidades Federativas y Municipios, </w:t>
      </w:r>
      <w:r w:rsidR="00E6604E" w:rsidRPr="0050035B">
        <w:rPr>
          <w:rFonts w:ascii="Century Gothic" w:hAnsi="Century Gothic"/>
          <w:lang w:val="es-MX"/>
        </w:rPr>
        <w:t>que asciende a un monto</w:t>
      </w:r>
      <w:r w:rsidR="00D11C4A" w:rsidRPr="0050035B">
        <w:rPr>
          <w:rFonts w:ascii="Century Gothic" w:hAnsi="Century Gothic"/>
          <w:lang w:val="es-MX"/>
        </w:rPr>
        <w:t xml:space="preserve"> </w:t>
      </w:r>
      <w:r w:rsidR="00B43603" w:rsidRPr="007B0C1A">
        <w:rPr>
          <w:rFonts w:ascii="Century Gothic" w:hAnsi="Century Gothic"/>
          <w:b/>
          <w:lang w:val="es-MX"/>
        </w:rPr>
        <w:t>$</w:t>
      </w:r>
      <w:r w:rsidR="007B0C1A">
        <w:rPr>
          <w:rFonts w:ascii="Century Gothic" w:hAnsi="Century Gothic"/>
          <w:b/>
          <w:lang w:val="es-MX"/>
        </w:rPr>
        <w:t xml:space="preserve"> </w:t>
      </w:r>
      <w:r w:rsidR="00091D7D" w:rsidRPr="00091D7D">
        <w:rPr>
          <w:rFonts w:ascii="Century Gothic" w:hAnsi="Century Gothic"/>
          <w:b/>
          <w:lang w:val="es-MX"/>
        </w:rPr>
        <w:t xml:space="preserve">329,829,392.32 </w:t>
      </w:r>
      <w:r w:rsidR="004C0FD5" w:rsidRPr="0050035B">
        <w:rPr>
          <w:rFonts w:ascii="Century Gothic" w:hAnsi="Century Gothic"/>
          <w:b/>
          <w:lang w:val="es-MX"/>
        </w:rPr>
        <w:t>(</w:t>
      </w:r>
      <w:r w:rsidR="00091D7D">
        <w:rPr>
          <w:rFonts w:ascii="Century Gothic" w:hAnsi="Century Gothic"/>
          <w:b/>
          <w:lang w:val="es-MX"/>
        </w:rPr>
        <w:t>Trescientos veintinueve millones ochocientos veintinueve mil trescientos noventa y dos</w:t>
      </w:r>
      <w:r w:rsidR="00B43603" w:rsidRPr="0050035B">
        <w:rPr>
          <w:rFonts w:ascii="Century Gothic" w:hAnsi="Century Gothic"/>
          <w:b/>
          <w:lang w:val="es-MX"/>
        </w:rPr>
        <w:t xml:space="preserve"> pesos 3</w:t>
      </w:r>
      <w:r w:rsidR="00091D7D">
        <w:rPr>
          <w:rFonts w:ascii="Century Gothic" w:hAnsi="Century Gothic"/>
          <w:b/>
          <w:lang w:val="es-MX"/>
        </w:rPr>
        <w:t>2</w:t>
      </w:r>
      <w:r w:rsidR="004C0FD5" w:rsidRPr="0050035B">
        <w:rPr>
          <w:rFonts w:ascii="Century Gothic" w:hAnsi="Century Gothic"/>
          <w:b/>
          <w:lang w:val="es-MX"/>
        </w:rPr>
        <w:t xml:space="preserve">/100 Moneda Nacional) </w:t>
      </w:r>
      <w:r w:rsidR="00525451" w:rsidRPr="0050035B">
        <w:rPr>
          <w:rFonts w:ascii="Century Gothic" w:hAnsi="Century Gothic"/>
          <w:lang w:val="es-MX"/>
        </w:rPr>
        <w:t>equivalente al 5%</w:t>
      </w:r>
      <w:r w:rsidR="005A037E" w:rsidRPr="0050035B">
        <w:rPr>
          <w:rFonts w:ascii="Century Gothic" w:hAnsi="Century Gothic"/>
          <w:lang w:val="es-MX"/>
        </w:rPr>
        <w:t xml:space="preserve"> de los ingresos presupuestados ante</w:t>
      </w:r>
      <w:r w:rsidR="005D54C2" w:rsidRPr="0050035B">
        <w:rPr>
          <w:rFonts w:ascii="Century Gothic" w:hAnsi="Century Gothic"/>
          <w:lang w:val="es-MX"/>
        </w:rPr>
        <w:t>s de financiamiento para el 20</w:t>
      </w:r>
      <w:r w:rsidR="003E1055" w:rsidRPr="0050035B">
        <w:rPr>
          <w:rFonts w:ascii="Century Gothic" w:hAnsi="Century Gothic"/>
          <w:lang w:val="es-MX"/>
        </w:rPr>
        <w:t>2</w:t>
      </w:r>
      <w:r w:rsidR="00091D7D">
        <w:rPr>
          <w:rFonts w:ascii="Century Gothic" w:hAnsi="Century Gothic"/>
          <w:lang w:val="es-MX"/>
        </w:rPr>
        <w:t>2</w:t>
      </w:r>
      <w:r w:rsidR="005A037E" w:rsidRPr="0050035B">
        <w:rPr>
          <w:rFonts w:ascii="Century Gothic" w:hAnsi="Century Gothic"/>
          <w:lang w:val="es-MX"/>
        </w:rPr>
        <w:t>, más las amortizac</w:t>
      </w:r>
      <w:r w:rsidR="007E59C0" w:rsidRPr="0050035B">
        <w:rPr>
          <w:rFonts w:ascii="Century Gothic" w:hAnsi="Century Gothic"/>
          <w:lang w:val="es-MX"/>
        </w:rPr>
        <w:t>iones hechas durante el periodo.</w:t>
      </w:r>
    </w:p>
    <w:p w:rsidR="00A34BA0" w:rsidRPr="0050035B" w:rsidRDefault="00A34BA0" w:rsidP="00E6604E">
      <w:pPr>
        <w:spacing w:line="360" w:lineRule="auto"/>
        <w:jc w:val="both"/>
        <w:rPr>
          <w:rFonts w:ascii="Century Gothic" w:hAnsi="Century Gothic"/>
          <w:lang w:val="es-MX"/>
        </w:rPr>
      </w:pPr>
    </w:p>
    <w:p w:rsidR="00A34BA0" w:rsidRPr="0050035B" w:rsidRDefault="007E59C0" w:rsidP="00A34BA0">
      <w:pPr>
        <w:spacing w:line="360" w:lineRule="auto"/>
        <w:ind w:firstLine="720"/>
        <w:jc w:val="both"/>
        <w:rPr>
          <w:rFonts w:ascii="Century Gothic" w:hAnsi="Century Gothic"/>
          <w:lang w:val="es-MX"/>
        </w:rPr>
      </w:pPr>
      <w:r w:rsidRPr="0050035B">
        <w:rPr>
          <w:rFonts w:ascii="Century Gothic" w:hAnsi="Century Gothic"/>
          <w:lang w:val="es-MX"/>
        </w:rPr>
        <w:t>Esta</w:t>
      </w:r>
      <w:r w:rsidR="005A037E" w:rsidRPr="0050035B">
        <w:rPr>
          <w:rFonts w:ascii="Century Gothic" w:hAnsi="Century Gothic"/>
          <w:lang w:val="es-MX"/>
        </w:rPr>
        <w:t xml:space="preserve"> cantidad se estima indispensable para la realización de inversión pública productiva en los términos de la Ley de Disciplina Financiera de las </w:t>
      </w:r>
      <w:r w:rsidR="005A037E" w:rsidRPr="0050035B">
        <w:rPr>
          <w:rFonts w:ascii="Century Gothic" w:hAnsi="Century Gothic"/>
          <w:lang w:val="es-MX"/>
        </w:rPr>
        <w:lastRenderedPageBreak/>
        <w:t xml:space="preserve">Entidades Federativas y Municipios, para lo cual </w:t>
      </w:r>
      <w:r w:rsidRPr="0050035B">
        <w:rPr>
          <w:rFonts w:ascii="Century Gothic" w:hAnsi="Century Gothic"/>
          <w:lang w:val="es-MX"/>
        </w:rPr>
        <w:t xml:space="preserve">se ha previsto que se pueda dar </w:t>
      </w:r>
      <w:r w:rsidR="005A037E" w:rsidRPr="0050035B">
        <w:rPr>
          <w:rFonts w:ascii="Century Gothic" w:hAnsi="Century Gothic"/>
          <w:lang w:val="es-MX"/>
        </w:rPr>
        <w:t xml:space="preserve">en garantía, fuente de pago o ambas, ingresos propios o de la coordinación fiscal o derechos del Municipio, condicionado a que el </w:t>
      </w:r>
      <w:r w:rsidR="00914C28" w:rsidRPr="0050035B">
        <w:rPr>
          <w:rFonts w:ascii="Century Gothic" w:hAnsi="Century Gothic"/>
          <w:lang w:val="es-MX"/>
        </w:rPr>
        <w:t xml:space="preserve">financiamiento </w:t>
      </w:r>
      <w:r w:rsidR="005A037E" w:rsidRPr="0050035B">
        <w:rPr>
          <w:rFonts w:ascii="Century Gothic" w:hAnsi="Century Gothic"/>
          <w:lang w:val="es-MX"/>
        </w:rPr>
        <w:t>que se contraiga</w:t>
      </w:r>
      <w:r w:rsidRPr="0050035B">
        <w:rPr>
          <w:rFonts w:ascii="Century Gothic" w:hAnsi="Century Gothic"/>
          <w:lang w:val="es-MX"/>
        </w:rPr>
        <w:t xml:space="preserve"> en el ejercicio conforme a esta</w:t>
      </w:r>
      <w:r w:rsidR="005A037E" w:rsidRPr="0050035B">
        <w:rPr>
          <w:rFonts w:ascii="Century Gothic" w:hAnsi="Century Gothic"/>
          <w:lang w:val="es-MX"/>
        </w:rPr>
        <w:t xml:space="preserve"> </w:t>
      </w:r>
      <w:r w:rsidRPr="0050035B">
        <w:rPr>
          <w:rFonts w:ascii="Century Gothic" w:hAnsi="Century Gothic"/>
          <w:lang w:val="es-MX"/>
        </w:rPr>
        <w:t>explicación</w:t>
      </w:r>
      <w:r w:rsidR="005A037E" w:rsidRPr="0050035B">
        <w:rPr>
          <w:rFonts w:ascii="Century Gothic" w:hAnsi="Century Gothic"/>
          <w:lang w:val="es-MX"/>
        </w:rPr>
        <w:t>, menos las amortizaciones que efectúe el Municipio durante el ejercicio fiscal</w:t>
      </w:r>
      <w:r w:rsidRPr="0050035B">
        <w:rPr>
          <w:rFonts w:ascii="Century Gothic" w:hAnsi="Century Gothic"/>
          <w:lang w:val="es-MX"/>
        </w:rPr>
        <w:t xml:space="preserve"> en curso</w:t>
      </w:r>
      <w:r w:rsidR="005A037E" w:rsidRPr="0050035B">
        <w:rPr>
          <w:rFonts w:ascii="Century Gothic" w:hAnsi="Century Gothic"/>
          <w:lang w:val="es-MX"/>
        </w:rPr>
        <w:t xml:space="preserve"> respecto de tales financiamientos u otros financiamientos, sea por un monto igual o menor al 5% del presupuesto total de ingresos contenido en</w:t>
      </w:r>
      <w:r w:rsidRPr="0050035B">
        <w:rPr>
          <w:rFonts w:ascii="Century Gothic" w:hAnsi="Century Gothic"/>
          <w:lang w:val="es-MX"/>
        </w:rPr>
        <w:t xml:space="preserve"> este</w:t>
      </w:r>
      <w:r w:rsidR="005A037E" w:rsidRPr="0050035B">
        <w:rPr>
          <w:rFonts w:ascii="Century Gothic" w:hAnsi="Century Gothic"/>
          <w:lang w:val="es-MX"/>
        </w:rPr>
        <w:t xml:space="preserve"> </w:t>
      </w:r>
      <w:r w:rsidR="006F5566" w:rsidRPr="0050035B">
        <w:rPr>
          <w:rFonts w:ascii="Century Gothic" w:hAnsi="Century Gothic"/>
          <w:lang w:val="es-MX"/>
        </w:rPr>
        <w:t>PLI</w:t>
      </w:r>
      <w:r w:rsidR="00A34BA0" w:rsidRPr="0050035B">
        <w:rPr>
          <w:rFonts w:ascii="Century Gothic" w:hAnsi="Century Gothic"/>
          <w:lang w:val="es-MX"/>
        </w:rPr>
        <w:t>.</w:t>
      </w:r>
    </w:p>
    <w:p w:rsidR="00A34BA0" w:rsidRPr="0050035B" w:rsidRDefault="00A34BA0" w:rsidP="00A34BA0">
      <w:pPr>
        <w:spacing w:line="360" w:lineRule="auto"/>
        <w:ind w:firstLine="720"/>
        <w:jc w:val="both"/>
        <w:rPr>
          <w:rFonts w:ascii="Century Gothic" w:hAnsi="Century Gothic"/>
          <w:lang w:val="es-MX"/>
        </w:rPr>
      </w:pPr>
    </w:p>
    <w:p w:rsidR="006F5566" w:rsidRPr="0050035B" w:rsidRDefault="00A34BA0" w:rsidP="006F5566">
      <w:pPr>
        <w:spacing w:line="360" w:lineRule="auto"/>
        <w:ind w:firstLine="720"/>
        <w:jc w:val="both"/>
        <w:rPr>
          <w:rFonts w:ascii="Century Gothic" w:hAnsi="Century Gothic"/>
          <w:lang w:val="es-MX"/>
        </w:rPr>
      </w:pPr>
      <w:r w:rsidRPr="0050035B">
        <w:rPr>
          <w:rFonts w:ascii="Century Gothic" w:hAnsi="Century Gothic"/>
          <w:lang w:val="es-MX"/>
        </w:rPr>
        <w:t>Bajo el</w:t>
      </w:r>
      <w:r w:rsidR="005A037E" w:rsidRPr="0050035B">
        <w:rPr>
          <w:rFonts w:ascii="Century Gothic" w:hAnsi="Century Gothic"/>
          <w:lang w:val="es-MX"/>
        </w:rPr>
        <w:t xml:space="preserve"> supuesto de que el H. Congreso del Estado tenga a bien aprobar la propu</w:t>
      </w:r>
      <w:r w:rsidRPr="0050035B">
        <w:rPr>
          <w:rFonts w:ascii="Century Gothic" w:hAnsi="Century Gothic"/>
          <w:lang w:val="es-MX"/>
        </w:rPr>
        <w:t>esta referida, el Municipio estará</w:t>
      </w:r>
      <w:r w:rsidR="005A037E" w:rsidRPr="0050035B">
        <w:rPr>
          <w:rFonts w:ascii="Century Gothic" w:hAnsi="Century Gothic"/>
          <w:lang w:val="es-MX"/>
        </w:rPr>
        <w:t xml:space="preserve"> en condiciones de contratar y ejercer financiamiento a través de deuda pública, pudiendo en cualquier momento </w:t>
      </w:r>
      <w:r w:rsidR="006F5566" w:rsidRPr="0050035B">
        <w:rPr>
          <w:rFonts w:ascii="Century Gothic" w:hAnsi="Century Gothic"/>
          <w:lang w:val="es-MX"/>
        </w:rPr>
        <w:t>reestructurar, refinanciar y en su caso subrogarse, y sustituir garantías, en cuanto a las condiciones de crédito u obligaciones de pago del Municipio de Monterrey y garantizar los créditos u obligaciones de pago con ingresos propios o de la coordinación fiscal o derechos del Municipio.</w:t>
      </w:r>
    </w:p>
    <w:p w:rsidR="005A037E" w:rsidRPr="0050035B" w:rsidRDefault="005A037E" w:rsidP="005A037E">
      <w:pPr>
        <w:spacing w:line="360" w:lineRule="auto"/>
        <w:ind w:firstLine="720"/>
        <w:jc w:val="both"/>
        <w:rPr>
          <w:rFonts w:ascii="Century Gothic" w:hAnsi="Century Gothic"/>
          <w:lang w:val="es-MX"/>
        </w:rPr>
      </w:pPr>
    </w:p>
    <w:p w:rsidR="006F5566" w:rsidRPr="0050035B" w:rsidRDefault="006F5566" w:rsidP="006F5566">
      <w:pPr>
        <w:spacing w:line="360" w:lineRule="auto"/>
        <w:ind w:firstLine="720"/>
        <w:jc w:val="both"/>
        <w:rPr>
          <w:rFonts w:ascii="Century Gothic" w:hAnsi="Century Gothic"/>
          <w:lang w:val="es-MX"/>
        </w:rPr>
      </w:pPr>
      <w:r w:rsidRPr="0050035B">
        <w:rPr>
          <w:rFonts w:ascii="Century Gothic" w:hAnsi="Century Gothic"/>
          <w:lang w:val="es-MX"/>
        </w:rPr>
        <w:t xml:space="preserve">Con relación a lo anterior, el Municipio de Monterrey, prevé, la posibilidad de celebrar, modificar o extinguir instrumentos financieros de cobertura  o de pago oportuno e incluso podrá realizar las renovaciones que estime necesarias o convenientes, por el plazo que considere necesario, a efecto de evitar y/o disminuir riesgos económico-financieros que pudieran derivar de las operaciones mediante las cuales se instrumente la contratación del </w:t>
      </w:r>
      <w:r w:rsidR="00914C28" w:rsidRPr="0050035B">
        <w:rPr>
          <w:rFonts w:ascii="Century Gothic" w:hAnsi="Century Gothic"/>
          <w:lang w:val="es-MX"/>
        </w:rPr>
        <w:t xml:space="preserve">financiamiento </w:t>
      </w:r>
      <w:r w:rsidRPr="0050035B">
        <w:rPr>
          <w:rFonts w:ascii="Century Gothic" w:hAnsi="Century Gothic"/>
          <w:lang w:val="es-MX"/>
        </w:rPr>
        <w:t>adicional a que se refiere el párrafo anterior.</w:t>
      </w:r>
    </w:p>
    <w:p w:rsidR="006F5566" w:rsidRPr="0050035B" w:rsidRDefault="006F5566" w:rsidP="005A037E">
      <w:pPr>
        <w:spacing w:line="360" w:lineRule="auto"/>
        <w:ind w:firstLine="720"/>
        <w:jc w:val="both"/>
        <w:rPr>
          <w:rFonts w:ascii="Century Gothic" w:hAnsi="Century Gothic"/>
          <w:lang w:val="es-MX"/>
        </w:rPr>
      </w:pPr>
    </w:p>
    <w:p w:rsidR="006F5566" w:rsidRPr="0050035B" w:rsidRDefault="006F5566" w:rsidP="006F5566">
      <w:pPr>
        <w:spacing w:line="360" w:lineRule="auto"/>
        <w:ind w:firstLine="720"/>
        <w:jc w:val="both"/>
        <w:rPr>
          <w:rFonts w:ascii="Century Gothic" w:hAnsi="Century Gothic"/>
          <w:lang w:val="es-MX"/>
        </w:rPr>
      </w:pPr>
      <w:r w:rsidRPr="0050035B">
        <w:rPr>
          <w:rFonts w:ascii="Century Gothic" w:hAnsi="Century Gothic"/>
          <w:lang w:val="es-MX"/>
        </w:rPr>
        <w:lastRenderedPageBreak/>
        <w:t xml:space="preserve">El Municipio considera la posibilidad de contratar el o los financiamientos y/o celebrar lo correspondiente a </w:t>
      </w:r>
      <w:r w:rsidR="001424D7" w:rsidRPr="0050035B">
        <w:rPr>
          <w:rFonts w:ascii="Century Gothic" w:hAnsi="Century Gothic"/>
          <w:lang w:val="es-MX"/>
        </w:rPr>
        <w:t>él</w:t>
      </w:r>
      <w:r w:rsidRPr="0050035B">
        <w:rPr>
          <w:rFonts w:ascii="Century Gothic" w:hAnsi="Century Gothic"/>
          <w:lang w:val="es-MX"/>
        </w:rPr>
        <w:t xml:space="preserve"> o </w:t>
      </w:r>
      <w:r w:rsidR="001424D7" w:rsidRPr="0050035B">
        <w:rPr>
          <w:rFonts w:ascii="Century Gothic" w:hAnsi="Century Gothic"/>
          <w:lang w:val="es-MX"/>
        </w:rPr>
        <w:t>los instrumentos</w:t>
      </w:r>
      <w:r w:rsidRPr="0050035B">
        <w:rPr>
          <w:rFonts w:ascii="Century Gothic" w:hAnsi="Century Gothic"/>
          <w:lang w:val="es-MX"/>
        </w:rPr>
        <w:t xml:space="preserve"> financieros de cobertura o pago oportuno objeto de la presente </w:t>
      </w:r>
      <w:r w:rsidR="00815B77" w:rsidRPr="0050035B">
        <w:rPr>
          <w:rFonts w:ascii="Century Gothic" w:hAnsi="Century Gothic"/>
          <w:lang w:val="es-MX"/>
        </w:rPr>
        <w:t>autorización, en el ejercicio fiscal 202</w:t>
      </w:r>
      <w:r w:rsidR="0023672D">
        <w:rPr>
          <w:rFonts w:ascii="Century Gothic" w:hAnsi="Century Gothic"/>
          <w:lang w:val="es-MX"/>
        </w:rPr>
        <w:t>2</w:t>
      </w:r>
      <w:r w:rsidR="00815B77" w:rsidRPr="0050035B">
        <w:rPr>
          <w:rFonts w:ascii="Century Gothic" w:hAnsi="Century Gothic"/>
          <w:lang w:val="es-MX"/>
        </w:rPr>
        <w:t xml:space="preserve"> y </w:t>
      </w:r>
      <w:r w:rsidRPr="0050035B">
        <w:rPr>
          <w:rFonts w:ascii="Century Gothic" w:hAnsi="Century Gothic"/>
          <w:lang w:val="es-MX"/>
        </w:rPr>
        <w:t>pagar en su totalidad las obligaciones a su cargo que deriven de las operaciones que formalice, en el plazo que negocie con la o las instituciones acreditantes.</w:t>
      </w:r>
    </w:p>
    <w:p w:rsidR="006F5566" w:rsidRPr="0050035B" w:rsidRDefault="006F5566" w:rsidP="006F5566">
      <w:pPr>
        <w:spacing w:line="360" w:lineRule="auto"/>
        <w:ind w:firstLine="720"/>
        <w:jc w:val="both"/>
        <w:rPr>
          <w:rFonts w:ascii="Century Gothic" w:hAnsi="Century Gothic"/>
          <w:lang w:val="es-MX"/>
        </w:rPr>
      </w:pPr>
    </w:p>
    <w:p w:rsidR="006F5566" w:rsidRPr="0050035B" w:rsidRDefault="006F5566" w:rsidP="006F5566">
      <w:pPr>
        <w:spacing w:line="360" w:lineRule="auto"/>
        <w:ind w:firstLine="720"/>
        <w:jc w:val="both"/>
        <w:rPr>
          <w:rFonts w:ascii="Century Gothic" w:hAnsi="Century Gothic"/>
          <w:lang w:val="es-MX"/>
        </w:rPr>
      </w:pPr>
      <w:r w:rsidRPr="0050035B">
        <w:rPr>
          <w:rFonts w:ascii="Century Gothic" w:hAnsi="Century Gothic"/>
          <w:lang w:val="es-MX"/>
        </w:rPr>
        <w:t>Así mismo el Municipio estará en posibilidad de celebrar contratos, convenios, instrumentos o actos jurídicos que se requieran para formalizar las adecuaciones que, en su caso, resulten necesarias o convenientes para emplear, utilizar, modificar y/u operar algún Fideicomiso Irrevocable de Administración y Pago, o bien, para que constituya cualquier otro fideicomiso a fin de formalizar el mecanismo de pago o cualquier instrumento para garantizar el pago del financiamiento e instrumentos de garantía o de pago oportuno.</w:t>
      </w:r>
    </w:p>
    <w:p w:rsidR="006F5566" w:rsidRPr="0050035B" w:rsidRDefault="006F5566" w:rsidP="00A34BA0">
      <w:pPr>
        <w:spacing w:line="360" w:lineRule="auto"/>
        <w:ind w:firstLine="720"/>
        <w:jc w:val="both"/>
        <w:rPr>
          <w:rFonts w:ascii="Century Gothic" w:hAnsi="Century Gothic"/>
          <w:lang w:val="es-MX"/>
        </w:rPr>
      </w:pPr>
    </w:p>
    <w:p w:rsidR="004C0FD5" w:rsidRPr="0050035B" w:rsidRDefault="006415D8" w:rsidP="00A34BA0">
      <w:pPr>
        <w:spacing w:line="360" w:lineRule="auto"/>
        <w:ind w:firstLine="720"/>
        <w:jc w:val="both"/>
        <w:rPr>
          <w:rFonts w:ascii="Century Gothic" w:hAnsi="Century Gothic"/>
          <w:lang w:val="es-MX"/>
        </w:rPr>
      </w:pPr>
      <w:r w:rsidRPr="0050035B">
        <w:rPr>
          <w:rFonts w:ascii="Century Gothic" w:hAnsi="Century Gothic"/>
          <w:lang w:val="es-MX"/>
        </w:rPr>
        <w:t xml:space="preserve">Los recursos provenientes del </w:t>
      </w:r>
      <w:r w:rsidR="00914C28" w:rsidRPr="0050035B">
        <w:rPr>
          <w:rFonts w:ascii="Century Gothic" w:hAnsi="Century Gothic"/>
          <w:lang w:val="es-MX"/>
        </w:rPr>
        <w:t>financiamiento</w:t>
      </w:r>
      <w:r w:rsidRPr="0050035B">
        <w:rPr>
          <w:rFonts w:ascii="Century Gothic" w:hAnsi="Century Gothic"/>
          <w:lang w:val="es-MX"/>
        </w:rPr>
        <w:t xml:space="preserve"> referido en el párrafo anterior podrían destinarse a</w:t>
      </w:r>
      <w:r w:rsidR="002C36F6" w:rsidRPr="0050035B">
        <w:rPr>
          <w:rFonts w:ascii="Century Gothic" w:hAnsi="Century Gothic"/>
          <w:lang w:val="es-MX"/>
        </w:rPr>
        <w:t xml:space="preserve"> uno o varios, de forma parcial o total, </w:t>
      </w:r>
      <w:r w:rsidR="00A34BA0" w:rsidRPr="0050035B">
        <w:rPr>
          <w:rFonts w:ascii="Century Gothic" w:hAnsi="Century Gothic"/>
          <w:lang w:val="es-MX"/>
        </w:rPr>
        <w:t>a</w:t>
      </w:r>
      <w:r w:rsidRPr="0050035B">
        <w:rPr>
          <w:rFonts w:ascii="Century Gothic" w:hAnsi="Century Gothic"/>
          <w:lang w:val="es-MX"/>
        </w:rPr>
        <w:t xml:space="preserve"> </w:t>
      </w:r>
      <w:r w:rsidR="0057063D" w:rsidRPr="0050035B">
        <w:rPr>
          <w:rFonts w:ascii="Century Gothic" w:hAnsi="Century Gothic"/>
          <w:lang w:val="es-MX"/>
        </w:rPr>
        <w:t xml:space="preserve">los </w:t>
      </w:r>
      <w:r w:rsidRPr="0050035B">
        <w:rPr>
          <w:rFonts w:ascii="Century Gothic" w:hAnsi="Century Gothic"/>
          <w:lang w:val="es-MX"/>
        </w:rPr>
        <w:t xml:space="preserve">proyectos de </w:t>
      </w:r>
      <w:r w:rsidR="004C0FD5" w:rsidRPr="0050035B">
        <w:rPr>
          <w:rFonts w:ascii="Century Gothic" w:hAnsi="Century Gothic"/>
          <w:lang w:val="es-MX"/>
        </w:rPr>
        <w:t xml:space="preserve">inversión pública productiva: </w:t>
      </w:r>
      <w:r w:rsidR="003A1825" w:rsidRPr="0050035B">
        <w:rPr>
          <w:rFonts w:ascii="Century Gothic" w:hAnsi="Century Gothic"/>
          <w:lang w:val="es-MX"/>
        </w:rPr>
        <w:t xml:space="preserve">a) </w:t>
      </w:r>
      <w:r w:rsidR="00EC1275">
        <w:rPr>
          <w:rFonts w:ascii="Century Gothic" w:hAnsi="Century Gothic"/>
          <w:lang w:val="es-MX"/>
        </w:rPr>
        <w:t>Sistema de retención de aguas pluviales en Cumbres (Cedros); b) Sistema de retención de aguas pluviales en Cumbres (San Agustín); c) Conexión de parques Fundidora y España; d) Espacio público en Colonia Valle Verde (Tercer Sector); e) PSV en Avenida Churubusco y Vías de FFCC a Tampico; f)Sendero Peatonal y ciclo pista en Avenida No Reelección y g) Pluvial Luis Echeverría en Colonia San Martín.</w:t>
      </w:r>
    </w:p>
    <w:p w:rsidR="004C0FD5" w:rsidRPr="0050035B" w:rsidRDefault="004C0FD5" w:rsidP="00A34BA0">
      <w:pPr>
        <w:spacing w:line="360" w:lineRule="auto"/>
        <w:ind w:firstLine="720"/>
        <w:jc w:val="both"/>
        <w:rPr>
          <w:rFonts w:ascii="Century Gothic" w:hAnsi="Century Gothic"/>
          <w:highlight w:val="yellow"/>
          <w:lang w:val="es-MX"/>
        </w:rPr>
      </w:pPr>
    </w:p>
    <w:p w:rsidR="008D7D5A" w:rsidRDefault="007E59C0" w:rsidP="008D7D5A">
      <w:pPr>
        <w:spacing w:line="360" w:lineRule="auto"/>
        <w:ind w:firstLine="720"/>
        <w:jc w:val="both"/>
        <w:rPr>
          <w:rFonts w:ascii="Century Gothic" w:hAnsi="Century Gothic"/>
          <w:lang w:val="es-MX"/>
        </w:rPr>
      </w:pPr>
      <w:r w:rsidRPr="0050035B">
        <w:rPr>
          <w:rFonts w:ascii="Century Gothic" w:hAnsi="Century Gothic"/>
          <w:lang w:val="es-MX"/>
        </w:rPr>
        <w:t>La</w:t>
      </w:r>
      <w:r w:rsidR="005A037E" w:rsidRPr="0050035B">
        <w:rPr>
          <w:rFonts w:ascii="Century Gothic" w:hAnsi="Century Gothic"/>
          <w:lang w:val="es-MX"/>
        </w:rPr>
        <w:t xml:space="preserve"> cantidad solicitada se estimó previo análisis de la capacidad de pago del Municipio de Monterrey, del destino que se otorgará a los recursos </w:t>
      </w:r>
      <w:r w:rsidR="005A037E" w:rsidRPr="0050035B">
        <w:rPr>
          <w:rFonts w:ascii="Century Gothic" w:hAnsi="Century Gothic"/>
          <w:lang w:val="es-MX"/>
        </w:rPr>
        <w:lastRenderedPageBreak/>
        <w:t>que se obtengan con los créditos o fina</w:t>
      </w:r>
      <w:r w:rsidRPr="0050035B">
        <w:rPr>
          <w:rFonts w:ascii="Century Gothic" w:hAnsi="Century Gothic"/>
          <w:lang w:val="es-MX"/>
        </w:rPr>
        <w:t>nciamientos que se contraten previa autorización</w:t>
      </w:r>
      <w:r w:rsidR="005A037E" w:rsidRPr="0050035B">
        <w:rPr>
          <w:rFonts w:ascii="Century Gothic" w:hAnsi="Century Gothic"/>
          <w:lang w:val="es-MX"/>
        </w:rPr>
        <w:t>, de la garantía y/o la fuente de pago que se constituirá con la afectación de un porcentaje del derecho a recibir y los ingresos que deriven de las participaciones presentes y futuras que en ingresos federales le correspondan al Municipio de Monterrey, en términos de lo que dispone la Ley de Coordinación Fiscal.</w:t>
      </w:r>
    </w:p>
    <w:p w:rsidR="008D7D5A" w:rsidRDefault="008D7D5A">
      <w:pPr>
        <w:rPr>
          <w:rFonts w:ascii="Century Gothic" w:hAnsi="Century Gothic"/>
          <w:lang w:val="es-MX"/>
        </w:rPr>
      </w:pPr>
      <w:r>
        <w:rPr>
          <w:rFonts w:ascii="Century Gothic" w:hAnsi="Century Gothic"/>
          <w:lang w:val="es-MX"/>
        </w:rPr>
        <w:br w:type="page"/>
      </w:r>
    </w:p>
    <w:p w:rsidR="0091731A" w:rsidRPr="0050035B" w:rsidRDefault="004C0FD5" w:rsidP="008B52D3">
      <w:pPr>
        <w:spacing w:line="360" w:lineRule="auto"/>
        <w:jc w:val="both"/>
        <w:rPr>
          <w:rFonts w:ascii="Century Gothic" w:hAnsi="Century Gothic"/>
          <w:b/>
          <w:lang w:val="es-MX"/>
        </w:rPr>
      </w:pPr>
      <w:r w:rsidRPr="0050035B">
        <w:rPr>
          <w:rFonts w:ascii="Century Gothic" w:hAnsi="Century Gothic"/>
          <w:b/>
          <w:lang w:val="es-MX"/>
        </w:rPr>
        <w:lastRenderedPageBreak/>
        <w:t>4. DESCRIPCIÓN DE LAS ESTIMACIONES</w:t>
      </w:r>
    </w:p>
    <w:p w:rsidR="004C0FD5" w:rsidRPr="0050035B" w:rsidRDefault="004C0FD5" w:rsidP="008B52D3">
      <w:pPr>
        <w:spacing w:line="360" w:lineRule="auto"/>
        <w:jc w:val="both"/>
        <w:rPr>
          <w:rFonts w:ascii="Century Gothic" w:hAnsi="Century Gothic"/>
          <w:b/>
          <w:lang w:val="es-MX"/>
        </w:rPr>
      </w:pPr>
    </w:p>
    <w:p w:rsidR="002C36F6" w:rsidRPr="0050035B" w:rsidRDefault="004C0FD5" w:rsidP="008B52D3">
      <w:pPr>
        <w:spacing w:line="360" w:lineRule="auto"/>
        <w:jc w:val="both"/>
        <w:rPr>
          <w:rFonts w:ascii="Century Gothic" w:hAnsi="Century Gothic"/>
          <w:b/>
          <w:lang w:val="es-MX"/>
        </w:rPr>
      </w:pPr>
      <w:r w:rsidRPr="0050035B">
        <w:rPr>
          <w:rFonts w:ascii="Century Gothic" w:hAnsi="Century Gothic"/>
          <w:b/>
          <w:lang w:val="es-MX"/>
        </w:rPr>
        <w:t>4.1</w:t>
      </w:r>
      <w:r w:rsidR="000D24A0" w:rsidRPr="0050035B">
        <w:rPr>
          <w:rFonts w:ascii="Century Gothic" w:hAnsi="Century Gothic"/>
          <w:b/>
          <w:lang w:val="es-MX"/>
        </w:rPr>
        <w:t>.</w:t>
      </w:r>
      <w:r w:rsidR="00E17F3E" w:rsidRPr="0050035B">
        <w:rPr>
          <w:rFonts w:ascii="Century Gothic" w:hAnsi="Century Gothic"/>
          <w:b/>
          <w:lang w:val="es-MX"/>
        </w:rPr>
        <w:t xml:space="preserve"> Distribución general del Proyecto del Presupuesto de Ingresos 20</w:t>
      </w:r>
      <w:r w:rsidR="008211C8" w:rsidRPr="0050035B">
        <w:rPr>
          <w:rFonts w:ascii="Century Gothic" w:hAnsi="Century Gothic"/>
          <w:b/>
          <w:lang w:val="es-MX"/>
        </w:rPr>
        <w:t>2</w:t>
      </w:r>
      <w:r w:rsidR="008C6E0F">
        <w:rPr>
          <w:rFonts w:ascii="Century Gothic" w:hAnsi="Century Gothic"/>
          <w:b/>
          <w:lang w:val="es-MX"/>
        </w:rPr>
        <w:t>2</w:t>
      </w:r>
    </w:p>
    <w:p w:rsidR="00F1636C" w:rsidRPr="0050035B" w:rsidRDefault="00E6604E" w:rsidP="000F74E8">
      <w:pPr>
        <w:spacing w:line="360" w:lineRule="auto"/>
        <w:jc w:val="both"/>
        <w:rPr>
          <w:rFonts w:ascii="Century Gothic" w:hAnsi="Century Gothic"/>
          <w:lang w:val="es-MX"/>
        </w:rPr>
      </w:pPr>
      <w:r w:rsidRPr="0050035B">
        <w:rPr>
          <w:rFonts w:ascii="Century Gothic" w:hAnsi="Century Gothic"/>
          <w:lang w:val="es-MX"/>
        </w:rPr>
        <w:t xml:space="preserve">De forma general, la estimación de ingresos para el ejercicio fiscal </w:t>
      </w:r>
      <w:r w:rsidR="008211C8" w:rsidRPr="0050035B">
        <w:rPr>
          <w:rFonts w:ascii="Century Gothic" w:hAnsi="Century Gothic"/>
          <w:lang w:val="es-MX"/>
        </w:rPr>
        <w:t>202</w:t>
      </w:r>
      <w:r w:rsidR="008C6E0F">
        <w:rPr>
          <w:rFonts w:ascii="Century Gothic" w:hAnsi="Century Gothic"/>
          <w:lang w:val="es-MX"/>
        </w:rPr>
        <w:t>2</w:t>
      </w:r>
      <w:r w:rsidRPr="0050035B">
        <w:rPr>
          <w:rFonts w:ascii="Century Gothic" w:hAnsi="Century Gothic"/>
          <w:lang w:val="es-MX"/>
        </w:rPr>
        <w:t>, se encuentra distribuida conforme a lo</w:t>
      </w:r>
      <w:r w:rsidR="00CC77DA" w:rsidRPr="0050035B">
        <w:rPr>
          <w:rFonts w:ascii="Century Gothic" w:hAnsi="Century Gothic"/>
          <w:lang w:val="es-MX"/>
        </w:rPr>
        <w:t>s rubros de ingreso presentados en la tabla 4.1</w:t>
      </w:r>
      <w:r w:rsidR="00217DBB" w:rsidRPr="0050035B">
        <w:rPr>
          <w:rFonts w:ascii="Century Gothic" w:hAnsi="Century Gothic"/>
          <w:lang w:val="es-MX"/>
        </w:rPr>
        <w:t>.</w:t>
      </w:r>
    </w:p>
    <w:p w:rsidR="00E92294" w:rsidRPr="0050035B" w:rsidRDefault="00E92294" w:rsidP="005B2134">
      <w:pPr>
        <w:spacing w:line="360" w:lineRule="auto"/>
        <w:jc w:val="center"/>
        <w:rPr>
          <w:rFonts w:ascii="Century Gothic" w:hAnsi="Century Gothic"/>
          <w:b/>
          <w:sz w:val="22"/>
          <w:szCs w:val="22"/>
          <w:lang w:val="es-MX"/>
        </w:rPr>
      </w:pPr>
    </w:p>
    <w:p w:rsidR="00E41FC6" w:rsidRPr="0050035B" w:rsidRDefault="009D2869" w:rsidP="002C6D7D">
      <w:pPr>
        <w:jc w:val="center"/>
        <w:rPr>
          <w:rFonts w:ascii="Century Gothic" w:hAnsi="Century Gothic"/>
          <w:sz w:val="22"/>
          <w:szCs w:val="22"/>
          <w:lang w:val="es-MX"/>
        </w:rPr>
      </w:pPr>
      <w:r w:rsidRPr="0050035B">
        <w:rPr>
          <w:rFonts w:ascii="Century Gothic" w:hAnsi="Century Gothic"/>
          <w:b/>
          <w:sz w:val="22"/>
          <w:szCs w:val="22"/>
          <w:lang w:val="es-MX"/>
        </w:rPr>
        <w:t xml:space="preserve">Tabla </w:t>
      </w:r>
      <w:r w:rsidR="000A7045" w:rsidRPr="0050035B">
        <w:rPr>
          <w:rFonts w:ascii="Century Gothic" w:hAnsi="Century Gothic"/>
          <w:b/>
          <w:sz w:val="22"/>
          <w:szCs w:val="22"/>
          <w:lang w:val="es-MX"/>
        </w:rPr>
        <w:t>4</w:t>
      </w:r>
      <w:r w:rsidRPr="0050035B">
        <w:rPr>
          <w:rFonts w:ascii="Century Gothic" w:hAnsi="Century Gothic"/>
          <w:b/>
          <w:sz w:val="22"/>
          <w:szCs w:val="22"/>
          <w:lang w:val="es-MX"/>
        </w:rPr>
        <w:t>.</w:t>
      </w:r>
      <w:r w:rsidR="000A7045" w:rsidRPr="0050035B">
        <w:rPr>
          <w:rFonts w:ascii="Century Gothic" w:hAnsi="Century Gothic"/>
          <w:b/>
          <w:sz w:val="22"/>
          <w:szCs w:val="22"/>
          <w:lang w:val="es-MX"/>
        </w:rPr>
        <w:t>1</w:t>
      </w:r>
      <w:r w:rsidR="004C0FD5" w:rsidRPr="0050035B">
        <w:rPr>
          <w:rFonts w:ascii="Century Gothic" w:hAnsi="Century Gothic"/>
          <w:b/>
          <w:sz w:val="22"/>
          <w:szCs w:val="22"/>
          <w:lang w:val="es-MX"/>
        </w:rPr>
        <w:t>.</w:t>
      </w:r>
      <w:r w:rsidR="00CC403F" w:rsidRPr="0050035B">
        <w:rPr>
          <w:rFonts w:ascii="Century Gothic" w:hAnsi="Century Gothic"/>
          <w:b/>
          <w:sz w:val="22"/>
          <w:szCs w:val="22"/>
          <w:lang w:val="es-MX"/>
        </w:rPr>
        <w:t xml:space="preserve"> </w:t>
      </w:r>
      <w:r w:rsidR="00CC403F" w:rsidRPr="0050035B">
        <w:rPr>
          <w:rFonts w:ascii="Century Gothic" w:hAnsi="Century Gothic"/>
          <w:sz w:val="22"/>
          <w:szCs w:val="22"/>
          <w:lang w:val="es-MX"/>
        </w:rPr>
        <w:t xml:space="preserve">Proyección de Ingresos para el Municipio de Monterrey </w:t>
      </w:r>
      <w:r w:rsidR="00F91F1A" w:rsidRPr="0050035B">
        <w:rPr>
          <w:rFonts w:ascii="Century Gothic" w:hAnsi="Century Gothic"/>
          <w:sz w:val="22"/>
          <w:szCs w:val="22"/>
          <w:lang w:val="es-MX"/>
        </w:rPr>
        <w:t>en el ejercicio fiscal 202</w:t>
      </w:r>
      <w:r w:rsidR="00594285">
        <w:rPr>
          <w:rFonts w:ascii="Century Gothic" w:hAnsi="Century Gothic"/>
          <w:sz w:val="22"/>
          <w:szCs w:val="22"/>
          <w:lang w:val="es-MX"/>
        </w:rPr>
        <w:t>2</w:t>
      </w:r>
      <w:r w:rsidR="00217DBB" w:rsidRPr="0050035B">
        <w:rPr>
          <w:rFonts w:ascii="Century Gothic" w:hAnsi="Century Gothic"/>
          <w:sz w:val="22"/>
          <w:szCs w:val="22"/>
          <w:lang w:val="es-MX"/>
        </w:rPr>
        <w:t>.</w:t>
      </w:r>
    </w:p>
    <w:tbl>
      <w:tblPr>
        <w:tblpPr w:leftFromText="141" w:rightFromText="141" w:vertAnchor="text" w:horzAnchor="margin" w:tblpXSpec="center" w:tblpY="201"/>
        <w:tblW w:w="8379" w:type="dxa"/>
        <w:tblLayout w:type="fixed"/>
        <w:tblCellMar>
          <w:left w:w="70" w:type="dxa"/>
          <w:right w:w="70" w:type="dxa"/>
        </w:tblCellMar>
        <w:tblLook w:val="04A0" w:firstRow="1" w:lastRow="0" w:firstColumn="1" w:lastColumn="0" w:noHBand="0" w:noVBand="1"/>
      </w:tblPr>
      <w:tblGrid>
        <w:gridCol w:w="4126"/>
        <w:gridCol w:w="2410"/>
        <w:gridCol w:w="1843"/>
      </w:tblGrid>
      <w:tr w:rsidR="009E75C0" w:rsidRPr="0050035B" w:rsidTr="00E44364">
        <w:trPr>
          <w:trHeight w:val="542"/>
        </w:trPr>
        <w:tc>
          <w:tcPr>
            <w:tcW w:w="8379" w:type="dxa"/>
            <w:gridSpan w:val="3"/>
            <w:tcBorders>
              <w:top w:val="single" w:sz="8" w:space="0" w:color="auto"/>
              <w:left w:val="single" w:sz="8" w:space="0" w:color="auto"/>
              <w:bottom w:val="single" w:sz="4" w:space="0" w:color="auto"/>
              <w:right w:val="single" w:sz="8" w:space="0" w:color="000000"/>
            </w:tcBorders>
            <w:shd w:val="clear" w:color="auto" w:fill="FABF8F" w:themeFill="accent6" w:themeFillTint="99"/>
            <w:noWrap/>
            <w:vAlign w:val="center"/>
            <w:hideMark/>
          </w:tcPr>
          <w:p w:rsidR="009E75C0" w:rsidRPr="0050035B" w:rsidRDefault="009E75C0" w:rsidP="007B0C1A">
            <w:pPr>
              <w:spacing w:line="360" w:lineRule="auto"/>
              <w:jc w:val="center"/>
              <w:rPr>
                <w:rFonts w:ascii="Century Gothic" w:eastAsia="Times New Roman" w:hAnsi="Century Gothic" w:cs="Arial"/>
                <w:b/>
                <w:bCs/>
                <w:color w:val="FFFFFF"/>
                <w:sz w:val="22"/>
                <w:szCs w:val="22"/>
                <w:highlight w:val="yellow"/>
                <w:lang w:val="es-MX" w:eastAsia="es-ES"/>
              </w:rPr>
            </w:pPr>
            <w:r w:rsidRPr="00E44364">
              <w:rPr>
                <w:rFonts w:ascii="Century Gothic" w:eastAsia="Times New Roman" w:hAnsi="Century Gothic" w:cs="Arial"/>
                <w:b/>
                <w:bCs/>
                <w:color w:val="000000" w:themeColor="text1"/>
                <w:sz w:val="22"/>
                <w:szCs w:val="22"/>
                <w:lang w:val="es-MX" w:eastAsia="es-ES"/>
              </w:rPr>
              <w:t>INGRESOS TOTALES</w:t>
            </w:r>
            <w:r w:rsidR="004C0FD5" w:rsidRPr="00E44364">
              <w:rPr>
                <w:rFonts w:ascii="Century Gothic" w:eastAsia="Times New Roman" w:hAnsi="Century Gothic" w:cs="Arial"/>
                <w:b/>
                <w:bCs/>
                <w:color w:val="000000" w:themeColor="text1"/>
                <w:sz w:val="22"/>
                <w:szCs w:val="22"/>
                <w:lang w:val="es-MX" w:eastAsia="es-ES"/>
              </w:rPr>
              <w:t xml:space="preserve"> ESTIMADOS PARA 202</w:t>
            </w:r>
            <w:r w:rsidR="007B0C1A" w:rsidRPr="00E44364">
              <w:rPr>
                <w:rFonts w:ascii="Century Gothic" w:eastAsia="Times New Roman" w:hAnsi="Century Gothic" w:cs="Arial"/>
                <w:b/>
                <w:bCs/>
                <w:color w:val="000000" w:themeColor="text1"/>
                <w:sz w:val="22"/>
                <w:szCs w:val="22"/>
                <w:lang w:val="es-MX" w:eastAsia="es-ES"/>
              </w:rPr>
              <w:t>2</w:t>
            </w:r>
          </w:p>
        </w:tc>
      </w:tr>
      <w:tr w:rsidR="00EC1275" w:rsidRPr="0050035B" w:rsidTr="004C0FD5">
        <w:trPr>
          <w:trHeight w:val="574"/>
        </w:trPr>
        <w:tc>
          <w:tcPr>
            <w:tcW w:w="4126" w:type="dxa"/>
            <w:tcBorders>
              <w:top w:val="nil"/>
              <w:left w:val="single" w:sz="8" w:space="0" w:color="auto"/>
              <w:bottom w:val="single" w:sz="4" w:space="0" w:color="auto"/>
              <w:right w:val="single" w:sz="4" w:space="0" w:color="auto"/>
            </w:tcBorders>
            <w:shd w:val="clear" w:color="auto" w:fill="auto"/>
            <w:noWrap/>
            <w:vAlign w:val="center"/>
            <w:hideMark/>
          </w:tcPr>
          <w:p w:rsidR="00EC1275" w:rsidRPr="0050035B" w:rsidRDefault="00EC1275" w:rsidP="00EC1275">
            <w:pPr>
              <w:spacing w:line="360" w:lineRule="auto"/>
              <w:jc w:val="center"/>
              <w:rPr>
                <w:rFonts w:ascii="Century Gothic" w:eastAsia="Times New Roman" w:hAnsi="Century Gothic" w:cs="Arial"/>
                <w:color w:val="000000"/>
                <w:sz w:val="22"/>
                <w:szCs w:val="22"/>
                <w:lang w:val="es-MX" w:eastAsia="es-ES"/>
              </w:rPr>
            </w:pPr>
            <w:r w:rsidRPr="0050035B">
              <w:rPr>
                <w:rFonts w:ascii="Century Gothic" w:eastAsia="Times New Roman" w:hAnsi="Century Gothic" w:cs="Arial"/>
                <w:color w:val="000000"/>
                <w:sz w:val="22"/>
                <w:szCs w:val="22"/>
                <w:lang w:val="es-MX" w:eastAsia="es-ES"/>
              </w:rPr>
              <w:t>Impuestos</w:t>
            </w:r>
          </w:p>
        </w:tc>
        <w:tc>
          <w:tcPr>
            <w:tcW w:w="2410" w:type="dxa"/>
            <w:tcBorders>
              <w:top w:val="nil"/>
              <w:left w:val="nil"/>
              <w:bottom w:val="single" w:sz="4" w:space="0" w:color="auto"/>
              <w:right w:val="single" w:sz="4" w:space="0" w:color="auto"/>
            </w:tcBorders>
            <w:shd w:val="clear" w:color="auto" w:fill="auto"/>
            <w:noWrap/>
            <w:vAlign w:val="center"/>
            <w:hideMark/>
          </w:tcPr>
          <w:p w:rsidR="00EC1275" w:rsidRPr="00EC1275" w:rsidRDefault="00EC1275" w:rsidP="00EC1275">
            <w:pPr>
              <w:jc w:val="center"/>
              <w:rPr>
                <w:rFonts w:ascii="Century Gothic" w:eastAsia="Times New Roman" w:hAnsi="Century Gothic" w:cs="Arial"/>
                <w:color w:val="000000"/>
                <w:sz w:val="22"/>
                <w:szCs w:val="22"/>
                <w:lang w:val="es-MX" w:eastAsia="es-ES"/>
              </w:rPr>
            </w:pPr>
            <w:r w:rsidRPr="00EC1275">
              <w:rPr>
                <w:rFonts w:ascii="Century Gothic" w:eastAsia="Times New Roman" w:hAnsi="Century Gothic" w:cs="Arial"/>
                <w:color w:val="000000"/>
                <w:sz w:val="22"/>
                <w:szCs w:val="22"/>
                <w:lang w:val="es-MX" w:eastAsia="es-ES"/>
              </w:rPr>
              <w:t>$2,281,770,937.58</w:t>
            </w:r>
          </w:p>
        </w:tc>
        <w:tc>
          <w:tcPr>
            <w:tcW w:w="1843" w:type="dxa"/>
            <w:tcBorders>
              <w:top w:val="nil"/>
              <w:left w:val="nil"/>
              <w:bottom w:val="single" w:sz="4" w:space="0" w:color="auto"/>
              <w:right w:val="single" w:sz="8" w:space="0" w:color="auto"/>
            </w:tcBorders>
            <w:shd w:val="clear" w:color="auto" w:fill="auto"/>
            <w:noWrap/>
            <w:vAlign w:val="center"/>
            <w:hideMark/>
          </w:tcPr>
          <w:p w:rsidR="00EC1275" w:rsidRPr="0050035B" w:rsidRDefault="00EC1275" w:rsidP="00EC1275">
            <w:pPr>
              <w:jc w:val="center"/>
              <w:rPr>
                <w:rFonts w:ascii="Century Gothic" w:eastAsia="Times New Roman" w:hAnsi="Century Gothic" w:cs="Arial"/>
                <w:color w:val="000000"/>
                <w:sz w:val="22"/>
                <w:szCs w:val="22"/>
                <w:lang w:val="es-MX" w:eastAsia="es-ES"/>
              </w:rPr>
            </w:pPr>
            <w:r w:rsidRPr="00EC1275">
              <w:rPr>
                <w:rFonts w:ascii="Century Gothic" w:eastAsia="Times New Roman" w:hAnsi="Century Gothic" w:cs="Arial"/>
                <w:color w:val="000000"/>
                <w:sz w:val="22"/>
                <w:szCs w:val="22"/>
                <w:lang w:val="es-MX" w:eastAsia="es-ES"/>
              </w:rPr>
              <w:t>34.59%</w:t>
            </w:r>
          </w:p>
        </w:tc>
      </w:tr>
      <w:tr w:rsidR="00EC1275" w:rsidRPr="0050035B" w:rsidTr="004C0FD5">
        <w:trPr>
          <w:trHeight w:val="562"/>
        </w:trPr>
        <w:tc>
          <w:tcPr>
            <w:tcW w:w="4126" w:type="dxa"/>
            <w:tcBorders>
              <w:top w:val="nil"/>
              <w:left w:val="single" w:sz="8" w:space="0" w:color="auto"/>
              <w:bottom w:val="single" w:sz="4" w:space="0" w:color="auto"/>
              <w:right w:val="single" w:sz="4" w:space="0" w:color="auto"/>
            </w:tcBorders>
            <w:shd w:val="clear" w:color="auto" w:fill="auto"/>
            <w:noWrap/>
            <w:vAlign w:val="center"/>
            <w:hideMark/>
          </w:tcPr>
          <w:p w:rsidR="00EC1275" w:rsidRPr="0050035B" w:rsidRDefault="00EC1275" w:rsidP="00EC1275">
            <w:pPr>
              <w:spacing w:line="360" w:lineRule="auto"/>
              <w:jc w:val="center"/>
              <w:rPr>
                <w:rFonts w:ascii="Century Gothic" w:eastAsia="Times New Roman" w:hAnsi="Century Gothic" w:cs="Arial"/>
                <w:color w:val="000000"/>
                <w:sz w:val="22"/>
                <w:szCs w:val="22"/>
                <w:lang w:val="es-MX" w:eastAsia="es-ES"/>
              </w:rPr>
            </w:pPr>
            <w:r w:rsidRPr="0050035B">
              <w:rPr>
                <w:rFonts w:ascii="Century Gothic" w:eastAsia="Times New Roman" w:hAnsi="Century Gothic" w:cs="Arial"/>
                <w:color w:val="000000"/>
                <w:sz w:val="22"/>
                <w:szCs w:val="22"/>
                <w:lang w:val="es-MX" w:eastAsia="es-ES"/>
              </w:rPr>
              <w:t>Derechos</w:t>
            </w:r>
          </w:p>
        </w:tc>
        <w:tc>
          <w:tcPr>
            <w:tcW w:w="2410" w:type="dxa"/>
            <w:tcBorders>
              <w:top w:val="nil"/>
              <w:left w:val="nil"/>
              <w:bottom w:val="single" w:sz="4" w:space="0" w:color="auto"/>
              <w:right w:val="single" w:sz="4" w:space="0" w:color="auto"/>
            </w:tcBorders>
            <w:shd w:val="clear" w:color="auto" w:fill="auto"/>
            <w:noWrap/>
            <w:vAlign w:val="center"/>
            <w:hideMark/>
          </w:tcPr>
          <w:p w:rsidR="00EC1275" w:rsidRPr="0050035B" w:rsidRDefault="00EC1275" w:rsidP="00EC1275">
            <w:pPr>
              <w:jc w:val="center"/>
              <w:rPr>
                <w:rFonts w:ascii="Century Gothic" w:eastAsia="Times New Roman" w:hAnsi="Century Gothic" w:cs="Arial"/>
                <w:color w:val="000000"/>
                <w:sz w:val="22"/>
                <w:szCs w:val="22"/>
                <w:lang w:val="es-MX" w:eastAsia="es-ES"/>
              </w:rPr>
            </w:pPr>
            <w:r w:rsidRPr="00EC1275">
              <w:rPr>
                <w:rFonts w:ascii="Century Gothic" w:eastAsia="Times New Roman" w:hAnsi="Century Gothic" w:cs="Arial"/>
                <w:color w:val="000000"/>
                <w:sz w:val="22"/>
                <w:szCs w:val="22"/>
                <w:lang w:val="es-MX" w:eastAsia="es-ES"/>
              </w:rPr>
              <w:t>$268,214,704.19</w:t>
            </w:r>
          </w:p>
        </w:tc>
        <w:tc>
          <w:tcPr>
            <w:tcW w:w="1843" w:type="dxa"/>
            <w:tcBorders>
              <w:top w:val="nil"/>
              <w:left w:val="nil"/>
              <w:bottom w:val="single" w:sz="4" w:space="0" w:color="auto"/>
              <w:right w:val="single" w:sz="8" w:space="0" w:color="auto"/>
            </w:tcBorders>
            <w:shd w:val="clear" w:color="auto" w:fill="auto"/>
            <w:noWrap/>
            <w:vAlign w:val="center"/>
            <w:hideMark/>
          </w:tcPr>
          <w:p w:rsidR="00EC1275" w:rsidRPr="0050035B" w:rsidRDefault="00EC1275" w:rsidP="00EC1275">
            <w:pPr>
              <w:spacing w:line="360" w:lineRule="auto"/>
              <w:jc w:val="center"/>
              <w:rPr>
                <w:rFonts w:ascii="Century Gothic" w:eastAsia="Times New Roman" w:hAnsi="Century Gothic" w:cs="Arial"/>
                <w:color w:val="000000"/>
                <w:sz w:val="22"/>
                <w:szCs w:val="22"/>
                <w:lang w:val="es-MX" w:eastAsia="es-ES"/>
              </w:rPr>
            </w:pPr>
            <w:r w:rsidRPr="00EC1275">
              <w:rPr>
                <w:rFonts w:ascii="Century Gothic" w:eastAsia="Times New Roman" w:hAnsi="Century Gothic" w:cs="Arial"/>
                <w:color w:val="000000"/>
                <w:sz w:val="22"/>
                <w:szCs w:val="22"/>
                <w:lang w:val="es-MX" w:eastAsia="es-ES"/>
              </w:rPr>
              <w:t>4.07%</w:t>
            </w:r>
          </w:p>
        </w:tc>
      </w:tr>
      <w:tr w:rsidR="00EC1275" w:rsidRPr="0050035B" w:rsidTr="00EC1275">
        <w:trPr>
          <w:trHeight w:val="556"/>
        </w:trPr>
        <w:tc>
          <w:tcPr>
            <w:tcW w:w="4126" w:type="dxa"/>
            <w:tcBorders>
              <w:top w:val="nil"/>
              <w:left w:val="single" w:sz="8" w:space="0" w:color="auto"/>
              <w:bottom w:val="single" w:sz="4" w:space="0" w:color="auto"/>
              <w:right w:val="single" w:sz="4" w:space="0" w:color="auto"/>
            </w:tcBorders>
            <w:shd w:val="clear" w:color="auto" w:fill="auto"/>
            <w:noWrap/>
            <w:vAlign w:val="center"/>
            <w:hideMark/>
          </w:tcPr>
          <w:p w:rsidR="00EC1275" w:rsidRPr="0050035B" w:rsidRDefault="00EC1275" w:rsidP="00EC1275">
            <w:pPr>
              <w:spacing w:line="360" w:lineRule="auto"/>
              <w:jc w:val="center"/>
              <w:rPr>
                <w:rFonts w:ascii="Century Gothic" w:eastAsia="Times New Roman" w:hAnsi="Century Gothic" w:cs="Arial"/>
                <w:color w:val="000000"/>
                <w:sz w:val="22"/>
                <w:szCs w:val="22"/>
                <w:lang w:val="es-MX" w:eastAsia="es-ES"/>
              </w:rPr>
            </w:pPr>
            <w:r w:rsidRPr="0050035B">
              <w:rPr>
                <w:rFonts w:ascii="Century Gothic" w:eastAsia="Times New Roman" w:hAnsi="Century Gothic" w:cs="Arial"/>
                <w:color w:val="000000"/>
                <w:sz w:val="22"/>
                <w:szCs w:val="22"/>
                <w:lang w:val="es-MX" w:eastAsia="es-ES"/>
              </w:rPr>
              <w:t>Productos</w:t>
            </w:r>
          </w:p>
        </w:tc>
        <w:tc>
          <w:tcPr>
            <w:tcW w:w="2410" w:type="dxa"/>
            <w:tcBorders>
              <w:top w:val="nil"/>
              <w:left w:val="nil"/>
              <w:bottom w:val="single" w:sz="4" w:space="0" w:color="auto"/>
              <w:right w:val="single" w:sz="4" w:space="0" w:color="auto"/>
            </w:tcBorders>
            <w:shd w:val="clear" w:color="auto" w:fill="auto"/>
            <w:noWrap/>
            <w:vAlign w:val="center"/>
            <w:hideMark/>
          </w:tcPr>
          <w:p w:rsidR="00EC1275" w:rsidRPr="0050035B" w:rsidRDefault="00EC1275" w:rsidP="00EC1275">
            <w:pPr>
              <w:jc w:val="center"/>
              <w:rPr>
                <w:rFonts w:ascii="Century Gothic" w:eastAsia="Times New Roman" w:hAnsi="Century Gothic" w:cs="Arial"/>
                <w:color w:val="000000"/>
                <w:sz w:val="22"/>
                <w:szCs w:val="22"/>
                <w:lang w:val="es-MX" w:eastAsia="es-ES"/>
              </w:rPr>
            </w:pPr>
            <w:r w:rsidRPr="00EC1275">
              <w:rPr>
                <w:rFonts w:ascii="Century Gothic" w:eastAsia="Times New Roman" w:hAnsi="Century Gothic" w:cs="Arial"/>
                <w:color w:val="000000"/>
                <w:sz w:val="22"/>
                <w:szCs w:val="22"/>
                <w:lang w:val="es-MX" w:eastAsia="es-ES"/>
              </w:rPr>
              <w:t>$129,665,602.07</w:t>
            </w:r>
          </w:p>
        </w:tc>
        <w:tc>
          <w:tcPr>
            <w:tcW w:w="1843" w:type="dxa"/>
            <w:tcBorders>
              <w:top w:val="nil"/>
              <w:left w:val="nil"/>
              <w:bottom w:val="single" w:sz="4" w:space="0" w:color="auto"/>
              <w:right w:val="single" w:sz="8" w:space="0" w:color="auto"/>
            </w:tcBorders>
            <w:shd w:val="clear" w:color="auto" w:fill="auto"/>
            <w:noWrap/>
            <w:vAlign w:val="center"/>
          </w:tcPr>
          <w:p w:rsidR="00EC1275" w:rsidRPr="0050035B" w:rsidRDefault="00EC1275" w:rsidP="00EC1275">
            <w:pPr>
              <w:spacing w:line="360" w:lineRule="auto"/>
              <w:jc w:val="center"/>
              <w:rPr>
                <w:rFonts w:ascii="Century Gothic" w:eastAsia="Times New Roman" w:hAnsi="Century Gothic" w:cs="Arial"/>
                <w:color w:val="000000"/>
                <w:sz w:val="22"/>
                <w:szCs w:val="22"/>
                <w:lang w:val="es-MX" w:eastAsia="es-ES"/>
              </w:rPr>
            </w:pPr>
            <w:r w:rsidRPr="00EC1275">
              <w:rPr>
                <w:rFonts w:ascii="Century Gothic" w:eastAsia="Times New Roman" w:hAnsi="Century Gothic" w:cs="Arial"/>
                <w:color w:val="000000"/>
                <w:sz w:val="22"/>
                <w:szCs w:val="22"/>
                <w:lang w:val="es-MX" w:eastAsia="es-ES"/>
              </w:rPr>
              <w:t>1.97%</w:t>
            </w:r>
          </w:p>
        </w:tc>
      </w:tr>
      <w:tr w:rsidR="00EC1275" w:rsidRPr="0050035B" w:rsidTr="00EC1275">
        <w:trPr>
          <w:trHeight w:val="564"/>
        </w:trPr>
        <w:tc>
          <w:tcPr>
            <w:tcW w:w="4126" w:type="dxa"/>
            <w:tcBorders>
              <w:top w:val="nil"/>
              <w:left w:val="single" w:sz="8" w:space="0" w:color="auto"/>
              <w:bottom w:val="single" w:sz="4" w:space="0" w:color="auto"/>
              <w:right w:val="single" w:sz="4" w:space="0" w:color="auto"/>
            </w:tcBorders>
            <w:shd w:val="clear" w:color="auto" w:fill="auto"/>
            <w:noWrap/>
            <w:vAlign w:val="center"/>
            <w:hideMark/>
          </w:tcPr>
          <w:p w:rsidR="00EC1275" w:rsidRPr="0050035B" w:rsidRDefault="00EC1275" w:rsidP="00EC1275">
            <w:pPr>
              <w:spacing w:line="360" w:lineRule="auto"/>
              <w:jc w:val="center"/>
              <w:rPr>
                <w:rFonts w:ascii="Century Gothic" w:eastAsia="Times New Roman" w:hAnsi="Century Gothic" w:cs="Arial"/>
                <w:color w:val="000000"/>
                <w:sz w:val="22"/>
                <w:szCs w:val="22"/>
                <w:lang w:val="es-MX" w:eastAsia="es-ES"/>
              </w:rPr>
            </w:pPr>
            <w:r w:rsidRPr="0050035B">
              <w:rPr>
                <w:rFonts w:ascii="Century Gothic" w:eastAsia="Times New Roman" w:hAnsi="Century Gothic" w:cs="Arial"/>
                <w:color w:val="000000"/>
                <w:sz w:val="22"/>
                <w:szCs w:val="22"/>
                <w:lang w:val="es-MX" w:eastAsia="es-ES"/>
              </w:rPr>
              <w:t>Aprovechamientos</w:t>
            </w:r>
          </w:p>
        </w:tc>
        <w:tc>
          <w:tcPr>
            <w:tcW w:w="2410" w:type="dxa"/>
            <w:tcBorders>
              <w:top w:val="nil"/>
              <w:left w:val="nil"/>
              <w:bottom w:val="single" w:sz="4" w:space="0" w:color="auto"/>
              <w:right w:val="single" w:sz="4" w:space="0" w:color="auto"/>
            </w:tcBorders>
            <w:shd w:val="clear" w:color="auto" w:fill="auto"/>
            <w:noWrap/>
            <w:vAlign w:val="center"/>
            <w:hideMark/>
          </w:tcPr>
          <w:p w:rsidR="00EC1275" w:rsidRPr="0050035B" w:rsidRDefault="00EC1275" w:rsidP="00EC1275">
            <w:pPr>
              <w:jc w:val="center"/>
              <w:rPr>
                <w:rFonts w:ascii="Century Gothic" w:eastAsia="Times New Roman" w:hAnsi="Century Gothic" w:cs="Arial"/>
                <w:color w:val="000000"/>
                <w:sz w:val="22"/>
                <w:szCs w:val="22"/>
                <w:lang w:val="es-MX" w:eastAsia="es-ES"/>
              </w:rPr>
            </w:pPr>
            <w:r w:rsidRPr="00EC1275">
              <w:rPr>
                <w:rFonts w:ascii="Century Gothic" w:eastAsia="Times New Roman" w:hAnsi="Century Gothic" w:cs="Arial"/>
                <w:color w:val="000000"/>
                <w:sz w:val="22"/>
                <w:szCs w:val="22"/>
                <w:lang w:val="es-MX" w:eastAsia="es-ES"/>
              </w:rPr>
              <w:t>$228,099,297.62</w:t>
            </w:r>
          </w:p>
        </w:tc>
        <w:tc>
          <w:tcPr>
            <w:tcW w:w="1843" w:type="dxa"/>
            <w:tcBorders>
              <w:top w:val="nil"/>
              <w:left w:val="nil"/>
              <w:bottom w:val="single" w:sz="4" w:space="0" w:color="auto"/>
              <w:right w:val="single" w:sz="8" w:space="0" w:color="auto"/>
            </w:tcBorders>
            <w:shd w:val="clear" w:color="auto" w:fill="auto"/>
            <w:noWrap/>
            <w:vAlign w:val="center"/>
          </w:tcPr>
          <w:p w:rsidR="00EC1275" w:rsidRPr="0050035B" w:rsidRDefault="00EC1275" w:rsidP="00EC1275">
            <w:pPr>
              <w:spacing w:line="360" w:lineRule="auto"/>
              <w:jc w:val="center"/>
              <w:rPr>
                <w:rFonts w:ascii="Century Gothic" w:eastAsia="Times New Roman" w:hAnsi="Century Gothic" w:cs="Arial"/>
                <w:color w:val="000000"/>
                <w:sz w:val="22"/>
                <w:szCs w:val="22"/>
                <w:lang w:val="es-MX" w:eastAsia="es-ES"/>
              </w:rPr>
            </w:pPr>
            <w:r w:rsidRPr="00EC1275">
              <w:rPr>
                <w:rFonts w:ascii="Century Gothic" w:eastAsia="Times New Roman" w:hAnsi="Century Gothic" w:cs="Arial"/>
                <w:color w:val="000000"/>
                <w:sz w:val="22"/>
                <w:szCs w:val="22"/>
                <w:lang w:val="es-MX" w:eastAsia="es-ES"/>
              </w:rPr>
              <w:t>3.46%</w:t>
            </w:r>
          </w:p>
        </w:tc>
      </w:tr>
      <w:tr w:rsidR="00EC1275" w:rsidRPr="0050035B" w:rsidTr="00EC1275">
        <w:trPr>
          <w:trHeight w:val="557"/>
        </w:trPr>
        <w:tc>
          <w:tcPr>
            <w:tcW w:w="4126" w:type="dxa"/>
            <w:tcBorders>
              <w:top w:val="nil"/>
              <w:left w:val="single" w:sz="8" w:space="0" w:color="auto"/>
              <w:bottom w:val="single" w:sz="4" w:space="0" w:color="auto"/>
              <w:right w:val="single" w:sz="4" w:space="0" w:color="auto"/>
            </w:tcBorders>
            <w:shd w:val="clear" w:color="auto" w:fill="auto"/>
            <w:noWrap/>
            <w:vAlign w:val="center"/>
            <w:hideMark/>
          </w:tcPr>
          <w:p w:rsidR="00EC1275" w:rsidRPr="0050035B" w:rsidRDefault="00EC1275" w:rsidP="00EC1275">
            <w:pPr>
              <w:spacing w:line="360" w:lineRule="auto"/>
              <w:jc w:val="center"/>
              <w:rPr>
                <w:rFonts w:ascii="Century Gothic" w:eastAsia="Times New Roman" w:hAnsi="Century Gothic" w:cs="Arial"/>
                <w:color w:val="000000"/>
                <w:sz w:val="22"/>
                <w:szCs w:val="22"/>
                <w:lang w:val="es-MX" w:eastAsia="es-ES"/>
              </w:rPr>
            </w:pPr>
            <w:r w:rsidRPr="0050035B">
              <w:rPr>
                <w:rFonts w:ascii="Century Gothic" w:eastAsia="Times New Roman" w:hAnsi="Century Gothic" w:cs="Arial"/>
                <w:color w:val="000000"/>
                <w:sz w:val="22"/>
                <w:szCs w:val="22"/>
                <w:lang w:val="es-MX" w:eastAsia="es-ES"/>
              </w:rPr>
              <w:t>Participaciones y Aportaciones</w:t>
            </w:r>
          </w:p>
        </w:tc>
        <w:tc>
          <w:tcPr>
            <w:tcW w:w="2410" w:type="dxa"/>
            <w:tcBorders>
              <w:top w:val="nil"/>
              <w:left w:val="nil"/>
              <w:bottom w:val="single" w:sz="4" w:space="0" w:color="auto"/>
              <w:right w:val="single" w:sz="4" w:space="0" w:color="auto"/>
            </w:tcBorders>
            <w:shd w:val="clear" w:color="auto" w:fill="auto"/>
            <w:noWrap/>
            <w:vAlign w:val="center"/>
            <w:hideMark/>
          </w:tcPr>
          <w:p w:rsidR="00EC1275" w:rsidRPr="0050035B" w:rsidRDefault="00EC1275" w:rsidP="00EC1275">
            <w:pPr>
              <w:jc w:val="center"/>
              <w:rPr>
                <w:rFonts w:ascii="Century Gothic" w:eastAsia="Times New Roman" w:hAnsi="Century Gothic" w:cs="Arial"/>
                <w:color w:val="000000"/>
                <w:sz w:val="22"/>
                <w:szCs w:val="22"/>
                <w:lang w:val="es-MX" w:eastAsia="es-ES"/>
              </w:rPr>
            </w:pPr>
            <w:r w:rsidRPr="00EC1275">
              <w:rPr>
                <w:rFonts w:ascii="Century Gothic" w:eastAsia="Times New Roman" w:hAnsi="Century Gothic" w:cs="Arial"/>
                <w:color w:val="000000"/>
                <w:sz w:val="22"/>
                <w:szCs w:val="22"/>
                <w:lang w:val="es-MX" w:eastAsia="es-ES"/>
              </w:rPr>
              <w:t>$3,612,610,374.05</w:t>
            </w:r>
          </w:p>
        </w:tc>
        <w:tc>
          <w:tcPr>
            <w:tcW w:w="1843" w:type="dxa"/>
            <w:tcBorders>
              <w:top w:val="nil"/>
              <w:left w:val="nil"/>
              <w:bottom w:val="single" w:sz="4" w:space="0" w:color="auto"/>
              <w:right w:val="single" w:sz="8" w:space="0" w:color="auto"/>
            </w:tcBorders>
            <w:shd w:val="clear" w:color="auto" w:fill="auto"/>
            <w:noWrap/>
            <w:vAlign w:val="center"/>
          </w:tcPr>
          <w:p w:rsidR="00EC1275" w:rsidRPr="0050035B" w:rsidRDefault="00EC1275" w:rsidP="00EC1275">
            <w:pPr>
              <w:spacing w:line="360" w:lineRule="auto"/>
              <w:jc w:val="center"/>
              <w:rPr>
                <w:rFonts w:ascii="Century Gothic" w:eastAsia="Times New Roman" w:hAnsi="Century Gothic" w:cs="Arial"/>
                <w:color w:val="000000"/>
                <w:sz w:val="22"/>
                <w:szCs w:val="22"/>
                <w:lang w:val="es-MX" w:eastAsia="es-ES"/>
              </w:rPr>
            </w:pPr>
            <w:r w:rsidRPr="00EC1275">
              <w:rPr>
                <w:rFonts w:ascii="Century Gothic" w:eastAsia="Times New Roman" w:hAnsi="Century Gothic" w:cs="Arial"/>
                <w:color w:val="000000"/>
                <w:sz w:val="22"/>
                <w:szCs w:val="22"/>
                <w:lang w:val="es-MX" w:eastAsia="es-ES"/>
              </w:rPr>
              <w:t>54.76%</w:t>
            </w:r>
          </w:p>
        </w:tc>
      </w:tr>
      <w:tr w:rsidR="00EC1275" w:rsidRPr="0050035B" w:rsidTr="004C0FD5">
        <w:trPr>
          <w:trHeight w:val="835"/>
        </w:trPr>
        <w:tc>
          <w:tcPr>
            <w:tcW w:w="4126" w:type="dxa"/>
            <w:tcBorders>
              <w:top w:val="nil"/>
              <w:left w:val="single" w:sz="8" w:space="0" w:color="auto"/>
              <w:bottom w:val="single" w:sz="4" w:space="0" w:color="auto"/>
              <w:right w:val="single" w:sz="4" w:space="0" w:color="auto"/>
            </w:tcBorders>
            <w:shd w:val="clear" w:color="auto" w:fill="auto"/>
            <w:vAlign w:val="center"/>
            <w:hideMark/>
          </w:tcPr>
          <w:p w:rsidR="00EC1275" w:rsidRPr="0050035B" w:rsidRDefault="00EC1275" w:rsidP="00EC1275">
            <w:pPr>
              <w:spacing w:line="360" w:lineRule="auto"/>
              <w:jc w:val="center"/>
              <w:rPr>
                <w:rFonts w:ascii="Century Gothic" w:eastAsia="Times New Roman" w:hAnsi="Century Gothic" w:cs="Arial"/>
                <w:color w:val="000000"/>
                <w:sz w:val="22"/>
                <w:szCs w:val="22"/>
                <w:lang w:val="es-MX" w:eastAsia="es-ES"/>
              </w:rPr>
            </w:pPr>
            <w:r w:rsidRPr="0050035B">
              <w:rPr>
                <w:rFonts w:ascii="Century Gothic" w:eastAsia="Times New Roman" w:hAnsi="Century Gothic" w:cs="Arial"/>
                <w:color w:val="000000"/>
                <w:sz w:val="22"/>
                <w:szCs w:val="22"/>
                <w:lang w:val="es-MX" w:eastAsia="es-ES"/>
              </w:rPr>
              <w:t>Transferencias, Asignaciones, Subsidios y Otras Ayudas</w:t>
            </w:r>
          </w:p>
        </w:tc>
        <w:tc>
          <w:tcPr>
            <w:tcW w:w="2410" w:type="dxa"/>
            <w:tcBorders>
              <w:top w:val="nil"/>
              <w:left w:val="nil"/>
              <w:bottom w:val="single" w:sz="4" w:space="0" w:color="auto"/>
              <w:right w:val="single" w:sz="4" w:space="0" w:color="auto"/>
            </w:tcBorders>
            <w:shd w:val="clear" w:color="auto" w:fill="auto"/>
            <w:noWrap/>
            <w:vAlign w:val="center"/>
          </w:tcPr>
          <w:p w:rsidR="00EC1275" w:rsidRPr="0050035B" w:rsidRDefault="00EC1275" w:rsidP="00EC1275">
            <w:pPr>
              <w:jc w:val="center"/>
              <w:rPr>
                <w:rFonts w:ascii="Century Gothic" w:eastAsia="Times New Roman" w:hAnsi="Century Gothic" w:cs="Arial"/>
                <w:color w:val="000000"/>
                <w:sz w:val="22"/>
                <w:szCs w:val="22"/>
                <w:lang w:val="es-MX" w:eastAsia="es-ES"/>
              </w:rPr>
            </w:pPr>
            <w:r w:rsidRPr="00EC1275">
              <w:rPr>
                <w:rFonts w:ascii="Century Gothic" w:eastAsia="Times New Roman" w:hAnsi="Century Gothic" w:cs="Arial"/>
                <w:color w:val="000000"/>
                <w:sz w:val="22"/>
                <w:szCs w:val="22"/>
                <w:lang w:val="es-MX" w:eastAsia="es-ES"/>
              </w:rPr>
              <w:t>$76,226,930.91</w:t>
            </w:r>
          </w:p>
        </w:tc>
        <w:tc>
          <w:tcPr>
            <w:tcW w:w="1843" w:type="dxa"/>
            <w:tcBorders>
              <w:top w:val="nil"/>
              <w:left w:val="nil"/>
              <w:bottom w:val="single" w:sz="4" w:space="0" w:color="auto"/>
              <w:right w:val="single" w:sz="8" w:space="0" w:color="auto"/>
            </w:tcBorders>
            <w:shd w:val="clear" w:color="auto" w:fill="auto"/>
            <w:noWrap/>
            <w:vAlign w:val="center"/>
          </w:tcPr>
          <w:p w:rsidR="00EC1275" w:rsidRPr="0050035B" w:rsidRDefault="00EC1275" w:rsidP="00E251F5">
            <w:pPr>
              <w:spacing w:line="360" w:lineRule="auto"/>
              <w:jc w:val="center"/>
              <w:rPr>
                <w:rFonts w:ascii="Century Gothic" w:eastAsia="Times New Roman" w:hAnsi="Century Gothic" w:cs="Arial"/>
                <w:color w:val="000000"/>
                <w:sz w:val="22"/>
                <w:szCs w:val="22"/>
                <w:lang w:val="es-MX" w:eastAsia="es-ES"/>
              </w:rPr>
            </w:pPr>
            <w:r w:rsidRPr="00EC1275">
              <w:rPr>
                <w:rFonts w:ascii="Century Gothic" w:eastAsia="Times New Roman" w:hAnsi="Century Gothic" w:cs="Arial"/>
                <w:color w:val="000000"/>
                <w:sz w:val="22"/>
                <w:szCs w:val="22"/>
                <w:lang w:val="es-MX" w:eastAsia="es-ES"/>
              </w:rPr>
              <w:t>1.1</w:t>
            </w:r>
            <w:r w:rsidR="00E251F5">
              <w:rPr>
                <w:rFonts w:ascii="Century Gothic" w:eastAsia="Times New Roman" w:hAnsi="Century Gothic" w:cs="Arial"/>
                <w:color w:val="000000"/>
                <w:sz w:val="22"/>
                <w:szCs w:val="22"/>
                <w:lang w:val="es-MX" w:eastAsia="es-ES"/>
              </w:rPr>
              <w:t>5</w:t>
            </w:r>
            <w:r w:rsidRPr="00EC1275">
              <w:rPr>
                <w:rFonts w:ascii="Century Gothic" w:eastAsia="Times New Roman" w:hAnsi="Century Gothic" w:cs="Arial"/>
                <w:color w:val="000000"/>
                <w:sz w:val="22"/>
                <w:szCs w:val="22"/>
                <w:lang w:val="es-MX" w:eastAsia="es-ES"/>
              </w:rPr>
              <w:t>%</w:t>
            </w:r>
          </w:p>
        </w:tc>
      </w:tr>
      <w:tr w:rsidR="00EC1275" w:rsidRPr="0050035B" w:rsidTr="004C0FD5">
        <w:trPr>
          <w:trHeight w:val="693"/>
        </w:trPr>
        <w:tc>
          <w:tcPr>
            <w:tcW w:w="4126" w:type="dxa"/>
            <w:tcBorders>
              <w:top w:val="nil"/>
              <w:left w:val="single" w:sz="8" w:space="0" w:color="auto"/>
              <w:bottom w:val="single" w:sz="4" w:space="0" w:color="auto"/>
              <w:right w:val="single" w:sz="4" w:space="0" w:color="auto"/>
            </w:tcBorders>
            <w:shd w:val="clear" w:color="auto" w:fill="auto"/>
            <w:vAlign w:val="center"/>
          </w:tcPr>
          <w:p w:rsidR="00EC1275" w:rsidRPr="00EC1275" w:rsidRDefault="00EC1275" w:rsidP="00EC1275">
            <w:pPr>
              <w:spacing w:line="360" w:lineRule="auto"/>
              <w:jc w:val="center"/>
              <w:rPr>
                <w:rFonts w:ascii="Century Gothic" w:eastAsia="Times New Roman" w:hAnsi="Century Gothic" w:cs="Arial"/>
                <w:b/>
                <w:i/>
                <w:color w:val="000000"/>
                <w:sz w:val="22"/>
                <w:szCs w:val="22"/>
                <w:lang w:val="es-MX" w:eastAsia="es-ES"/>
              </w:rPr>
            </w:pPr>
            <w:r w:rsidRPr="00EC1275">
              <w:rPr>
                <w:rFonts w:ascii="Century Gothic" w:eastAsia="Times New Roman" w:hAnsi="Century Gothic" w:cs="Arial"/>
                <w:b/>
                <w:i/>
                <w:color w:val="000000"/>
                <w:sz w:val="22"/>
                <w:szCs w:val="22"/>
                <w:lang w:val="es-MX" w:eastAsia="es-ES"/>
              </w:rPr>
              <w:t>Total antes de Financiamiento</w:t>
            </w:r>
          </w:p>
        </w:tc>
        <w:tc>
          <w:tcPr>
            <w:tcW w:w="2410" w:type="dxa"/>
            <w:tcBorders>
              <w:top w:val="nil"/>
              <w:left w:val="nil"/>
              <w:bottom w:val="single" w:sz="4" w:space="0" w:color="auto"/>
              <w:right w:val="single" w:sz="4" w:space="0" w:color="auto"/>
            </w:tcBorders>
            <w:shd w:val="clear" w:color="auto" w:fill="auto"/>
            <w:noWrap/>
            <w:vAlign w:val="center"/>
          </w:tcPr>
          <w:p w:rsidR="00EC1275" w:rsidRPr="00EC1275" w:rsidRDefault="00EC1275" w:rsidP="00EC1275">
            <w:pPr>
              <w:spacing w:line="360" w:lineRule="auto"/>
              <w:jc w:val="center"/>
              <w:rPr>
                <w:rFonts w:ascii="Century Gothic" w:eastAsia="Times New Roman" w:hAnsi="Century Gothic" w:cs="Arial"/>
                <w:b/>
                <w:i/>
                <w:color w:val="000000"/>
                <w:sz w:val="22"/>
                <w:szCs w:val="22"/>
                <w:lang w:val="es-MX" w:eastAsia="es-ES"/>
              </w:rPr>
            </w:pPr>
            <w:r w:rsidRPr="00EC1275">
              <w:rPr>
                <w:rFonts w:ascii="Century Gothic" w:eastAsia="Times New Roman" w:hAnsi="Century Gothic" w:cs="Arial"/>
                <w:b/>
                <w:i/>
                <w:color w:val="000000"/>
                <w:sz w:val="22"/>
                <w:szCs w:val="22"/>
                <w:lang w:val="es-MX" w:eastAsia="es-ES"/>
              </w:rPr>
              <w:t>$6,596,587,846.42</w:t>
            </w:r>
          </w:p>
        </w:tc>
        <w:tc>
          <w:tcPr>
            <w:tcW w:w="1843" w:type="dxa"/>
            <w:tcBorders>
              <w:top w:val="nil"/>
              <w:left w:val="nil"/>
              <w:bottom w:val="single" w:sz="4" w:space="0" w:color="auto"/>
              <w:right w:val="single" w:sz="8" w:space="0" w:color="auto"/>
            </w:tcBorders>
            <w:shd w:val="clear" w:color="auto" w:fill="auto"/>
            <w:noWrap/>
            <w:vAlign w:val="center"/>
          </w:tcPr>
          <w:p w:rsidR="00EC1275" w:rsidRPr="00EC1275" w:rsidRDefault="00EC1275" w:rsidP="00EC1275">
            <w:pPr>
              <w:spacing w:line="360" w:lineRule="auto"/>
              <w:jc w:val="center"/>
              <w:rPr>
                <w:rFonts w:ascii="Century Gothic" w:eastAsia="Times New Roman" w:hAnsi="Century Gothic" w:cs="Arial"/>
                <w:b/>
                <w:i/>
                <w:color w:val="000000"/>
                <w:sz w:val="22"/>
                <w:szCs w:val="22"/>
                <w:lang w:val="es-MX" w:eastAsia="es-ES"/>
              </w:rPr>
            </w:pPr>
            <w:r w:rsidRPr="00EC1275">
              <w:rPr>
                <w:rFonts w:ascii="Century Gothic" w:eastAsia="Times New Roman" w:hAnsi="Century Gothic" w:cs="Arial"/>
                <w:b/>
                <w:i/>
                <w:color w:val="000000"/>
                <w:sz w:val="22"/>
                <w:szCs w:val="22"/>
                <w:lang w:val="es-MX" w:eastAsia="es-ES"/>
              </w:rPr>
              <w:t>100.00%</w:t>
            </w:r>
          </w:p>
        </w:tc>
      </w:tr>
      <w:tr w:rsidR="00EC1275" w:rsidRPr="0050035B" w:rsidTr="004C0FD5">
        <w:trPr>
          <w:trHeight w:val="693"/>
        </w:trPr>
        <w:tc>
          <w:tcPr>
            <w:tcW w:w="4126" w:type="dxa"/>
            <w:tcBorders>
              <w:top w:val="nil"/>
              <w:left w:val="single" w:sz="8" w:space="0" w:color="auto"/>
              <w:bottom w:val="single" w:sz="4" w:space="0" w:color="auto"/>
              <w:right w:val="single" w:sz="4" w:space="0" w:color="auto"/>
            </w:tcBorders>
            <w:shd w:val="clear" w:color="auto" w:fill="auto"/>
            <w:vAlign w:val="center"/>
          </w:tcPr>
          <w:p w:rsidR="00EC1275" w:rsidRPr="0050035B" w:rsidRDefault="00EC1275" w:rsidP="00EC1275">
            <w:pPr>
              <w:spacing w:line="360" w:lineRule="auto"/>
              <w:jc w:val="center"/>
              <w:rPr>
                <w:rFonts w:ascii="Century Gothic" w:eastAsia="Times New Roman" w:hAnsi="Century Gothic" w:cs="Arial"/>
                <w:color w:val="000000"/>
                <w:sz w:val="22"/>
                <w:szCs w:val="22"/>
                <w:lang w:val="es-MX" w:eastAsia="es-ES"/>
              </w:rPr>
            </w:pPr>
            <w:r w:rsidRPr="0050035B">
              <w:rPr>
                <w:rFonts w:ascii="Century Gothic" w:eastAsia="Times New Roman" w:hAnsi="Century Gothic" w:cs="Arial"/>
                <w:color w:val="000000"/>
                <w:sz w:val="22"/>
                <w:szCs w:val="22"/>
                <w:lang w:val="es-MX" w:eastAsia="es-ES"/>
              </w:rPr>
              <w:t>Financiamiento 5%</w:t>
            </w:r>
          </w:p>
        </w:tc>
        <w:tc>
          <w:tcPr>
            <w:tcW w:w="2410" w:type="dxa"/>
            <w:tcBorders>
              <w:top w:val="nil"/>
              <w:left w:val="nil"/>
              <w:bottom w:val="single" w:sz="4" w:space="0" w:color="auto"/>
              <w:right w:val="single" w:sz="4" w:space="0" w:color="auto"/>
            </w:tcBorders>
            <w:shd w:val="clear" w:color="auto" w:fill="auto"/>
            <w:noWrap/>
            <w:vAlign w:val="center"/>
          </w:tcPr>
          <w:p w:rsidR="00EC1275" w:rsidRPr="0050035B" w:rsidRDefault="00EC1275" w:rsidP="00EC1275">
            <w:pPr>
              <w:spacing w:line="360" w:lineRule="auto"/>
              <w:jc w:val="center"/>
              <w:rPr>
                <w:rFonts w:ascii="Century Gothic" w:eastAsia="Times New Roman" w:hAnsi="Century Gothic" w:cs="Arial"/>
                <w:color w:val="000000"/>
                <w:sz w:val="22"/>
                <w:szCs w:val="22"/>
                <w:lang w:val="es-MX" w:eastAsia="es-ES"/>
              </w:rPr>
            </w:pPr>
            <w:r w:rsidRPr="00EC1275">
              <w:rPr>
                <w:rFonts w:ascii="Century Gothic" w:eastAsia="Times New Roman" w:hAnsi="Century Gothic" w:cs="Arial"/>
                <w:color w:val="000000"/>
                <w:sz w:val="22"/>
                <w:szCs w:val="22"/>
                <w:lang w:val="es-MX" w:eastAsia="es-ES"/>
              </w:rPr>
              <w:t xml:space="preserve">        329,829,392.32 </w:t>
            </w:r>
          </w:p>
        </w:tc>
        <w:tc>
          <w:tcPr>
            <w:tcW w:w="1843" w:type="dxa"/>
            <w:tcBorders>
              <w:top w:val="nil"/>
              <w:left w:val="nil"/>
              <w:bottom w:val="single" w:sz="4" w:space="0" w:color="auto"/>
              <w:right w:val="single" w:sz="8" w:space="0" w:color="auto"/>
            </w:tcBorders>
            <w:shd w:val="clear" w:color="auto" w:fill="auto"/>
            <w:noWrap/>
            <w:vAlign w:val="center"/>
          </w:tcPr>
          <w:p w:rsidR="00EC1275" w:rsidRPr="0050035B" w:rsidRDefault="00EC1275" w:rsidP="00EC1275">
            <w:pPr>
              <w:spacing w:line="360" w:lineRule="auto"/>
              <w:jc w:val="center"/>
              <w:rPr>
                <w:rFonts w:ascii="Century Gothic" w:eastAsia="Times New Roman" w:hAnsi="Century Gothic" w:cs="Arial"/>
                <w:color w:val="000000"/>
                <w:sz w:val="22"/>
                <w:szCs w:val="22"/>
                <w:lang w:val="es-MX" w:eastAsia="es-ES"/>
              </w:rPr>
            </w:pPr>
          </w:p>
        </w:tc>
      </w:tr>
      <w:tr w:rsidR="00EC1275" w:rsidRPr="0050035B" w:rsidTr="004C0FD5">
        <w:trPr>
          <w:trHeight w:val="562"/>
        </w:trPr>
        <w:tc>
          <w:tcPr>
            <w:tcW w:w="4126" w:type="dxa"/>
            <w:tcBorders>
              <w:top w:val="nil"/>
              <w:left w:val="single" w:sz="8" w:space="0" w:color="auto"/>
              <w:bottom w:val="single" w:sz="8" w:space="0" w:color="auto"/>
              <w:right w:val="single" w:sz="4" w:space="0" w:color="auto"/>
            </w:tcBorders>
            <w:shd w:val="clear" w:color="auto" w:fill="auto"/>
            <w:noWrap/>
            <w:vAlign w:val="center"/>
            <w:hideMark/>
          </w:tcPr>
          <w:p w:rsidR="00EC1275" w:rsidRPr="0050035B" w:rsidRDefault="00EC1275" w:rsidP="00EC1275">
            <w:pPr>
              <w:spacing w:line="360" w:lineRule="auto"/>
              <w:ind w:left="720"/>
              <w:jc w:val="center"/>
              <w:rPr>
                <w:rFonts w:ascii="Century Gothic" w:eastAsia="Times New Roman" w:hAnsi="Century Gothic" w:cs="Arial"/>
                <w:b/>
                <w:color w:val="000000"/>
                <w:sz w:val="22"/>
                <w:szCs w:val="22"/>
                <w:lang w:val="es-MX" w:eastAsia="es-ES"/>
              </w:rPr>
            </w:pPr>
            <w:r w:rsidRPr="0050035B">
              <w:rPr>
                <w:rFonts w:ascii="Century Gothic" w:eastAsia="Times New Roman" w:hAnsi="Century Gothic" w:cs="Arial"/>
                <w:b/>
                <w:color w:val="000000"/>
                <w:sz w:val="22"/>
                <w:szCs w:val="22"/>
                <w:lang w:val="es-MX" w:eastAsia="es-ES"/>
              </w:rPr>
              <w:t>TOTAL</w:t>
            </w:r>
          </w:p>
        </w:tc>
        <w:tc>
          <w:tcPr>
            <w:tcW w:w="2410" w:type="dxa"/>
            <w:tcBorders>
              <w:top w:val="nil"/>
              <w:left w:val="nil"/>
              <w:bottom w:val="single" w:sz="8" w:space="0" w:color="auto"/>
              <w:right w:val="single" w:sz="4" w:space="0" w:color="auto"/>
            </w:tcBorders>
            <w:shd w:val="clear" w:color="auto" w:fill="auto"/>
            <w:noWrap/>
            <w:vAlign w:val="center"/>
            <w:hideMark/>
          </w:tcPr>
          <w:p w:rsidR="00EC1275" w:rsidRPr="00EC1275" w:rsidRDefault="00EC1275" w:rsidP="00EC1275">
            <w:pPr>
              <w:spacing w:line="360" w:lineRule="auto"/>
              <w:jc w:val="center"/>
              <w:rPr>
                <w:rFonts w:ascii="Century Gothic" w:eastAsia="Times New Roman" w:hAnsi="Century Gothic" w:cs="Arial"/>
                <w:color w:val="000000"/>
                <w:sz w:val="22"/>
                <w:szCs w:val="22"/>
                <w:lang w:val="es-MX" w:eastAsia="es-ES"/>
              </w:rPr>
            </w:pPr>
            <w:r w:rsidRPr="00EC1275">
              <w:rPr>
                <w:rFonts w:ascii="Century Gothic" w:eastAsia="Times New Roman" w:hAnsi="Century Gothic" w:cs="Arial"/>
                <w:b/>
                <w:color w:val="000000"/>
                <w:sz w:val="22"/>
                <w:szCs w:val="22"/>
                <w:lang w:val="es-MX" w:eastAsia="es-ES"/>
              </w:rPr>
              <w:t xml:space="preserve">     6,926,417,238.74</w:t>
            </w:r>
            <w:r w:rsidRPr="00EC1275">
              <w:rPr>
                <w:rFonts w:ascii="Century Gothic" w:eastAsia="Times New Roman" w:hAnsi="Century Gothic" w:cs="Arial"/>
                <w:color w:val="000000"/>
                <w:sz w:val="22"/>
                <w:szCs w:val="22"/>
                <w:lang w:val="es-MX" w:eastAsia="es-ES"/>
              </w:rPr>
              <w:t xml:space="preserve"> </w:t>
            </w:r>
          </w:p>
        </w:tc>
        <w:tc>
          <w:tcPr>
            <w:tcW w:w="1843" w:type="dxa"/>
            <w:tcBorders>
              <w:top w:val="nil"/>
              <w:left w:val="nil"/>
              <w:bottom w:val="single" w:sz="8" w:space="0" w:color="auto"/>
              <w:right w:val="single" w:sz="8" w:space="0" w:color="auto"/>
            </w:tcBorders>
            <w:shd w:val="clear" w:color="auto" w:fill="auto"/>
            <w:noWrap/>
            <w:vAlign w:val="center"/>
            <w:hideMark/>
          </w:tcPr>
          <w:p w:rsidR="00EC1275" w:rsidRPr="0050035B" w:rsidRDefault="00EC1275" w:rsidP="00EC1275">
            <w:pPr>
              <w:spacing w:line="360" w:lineRule="auto"/>
              <w:jc w:val="center"/>
              <w:rPr>
                <w:rFonts w:ascii="Century Gothic" w:eastAsia="Times New Roman" w:hAnsi="Century Gothic" w:cs="Arial"/>
                <w:color w:val="000000"/>
                <w:sz w:val="22"/>
                <w:szCs w:val="22"/>
                <w:lang w:val="es-MX" w:eastAsia="es-ES"/>
              </w:rPr>
            </w:pPr>
            <w:r w:rsidRPr="0050035B">
              <w:rPr>
                <w:rFonts w:ascii="Century Gothic" w:eastAsia="Times New Roman" w:hAnsi="Century Gothic" w:cs="Arial"/>
                <w:color w:val="000000"/>
                <w:sz w:val="22"/>
                <w:szCs w:val="22"/>
                <w:lang w:val="es-MX" w:eastAsia="es-ES"/>
              </w:rPr>
              <w:t> </w:t>
            </w:r>
          </w:p>
        </w:tc>
      </w:tr>
    </w:tbl>
    <w:p w:rsidR="00F1636C" w:rsidRPr="0050035B" w:rsidRDefault="003A6064" w:rsidP="004C0FD5">
      <w:pPr>
        <w:spacing w:line="360" w:lineRule="auto"/>
        <w:ind w:firstLine="720"/>
        <w:jc w:val="both"/>
        <w:rPr>
          <w:rFonts w:ascii="Century Gothic" w:hAnsi="Century Gothic"/>
          <w:b/>
          <w:sz w:val="4"/>
          <w:szCs w:val="4"/>
          <w:lang w:val="es-MX"/>
        </w:rPr>
      </w:pPr>
      <w:r w:rsidRPr="0050035B">
        <w:rPr>
          <w:rFonts w:ascii="Century Gothic" w:hAnsi="Century Gothic"/>
          <w:b/>
          <w:sz w:val="12"/>
          <w:szCs w:val="12"/>
          <w:lang w:val="es-MX"/>
        </w:rPr>
        <w:t xml:space="preserve"> </w:t>
      </w:r>
      <w:r w:rsidR="00F1636C" w:rsidRPr="0050035B">
        <w:rPr>
          <w:rFonts w:ascii="Century Gothic" w:hAnsi="Century Gothic"/>
          <w:b/>
          <w:sz w:val="20"/>
          <w:szCs w:val="20"/>
          <w:lang w:val="es-MX"/>
        </w:rPr>
        <w:t>Fuente:</w:t>
      </w:r>
      <w:r w:rsidR="00F1636C" w:rsidRPr="0050035B">
        <w:rPr>
          <w:rFonts w:ascii="Century Gothic" w:hAnsi="Century Gothic"/>
          <w:sz w:val="20"/>
          <w:szCs w:val="20"/>
          <w:lang w:val="es-MX"/>
        </w:rPr>
        <w:t xml:space="preserve"> Elaboración propia, </w:t>
      </w:r>
      <w:r w:rsidR="00846DE2" w:rsidRPr="0050035B">
        <w:rPr>
          <w:rFonts w:ascii="Century Gothic" w:hAnsi="Century Gothic"/>
          <w:sz w:val="20"/>
          <w:szCs w:val="20"/>
          <w:lang w:val="es-MX"/>
        </w:rPr>
        <w:t>202</w:t>
      </w:r>
      <w:r w:rsidR="00594285">
        <w:rPr>
          <w:rFonts w:ascii="Century Gothic" w:hAnsi="Century Gothic"/>
          <w:sz w:val="20"/>
          <w:szCs w:val="20"/>
          <w:lang w:val="es-MX"/>
        </w:rPr>
        <w:t>1</w:t>
      </w:r>
      <w:r w:rsidR="00F1636C" w:rsidRPr="0050035B">
        <w:rPr>
          <w:rFonts w:ascii="Century Gothic" w:hAnsi="Century Gothic"/>
          <w:sz w:val="20"/>
          <w:szCs w:val="20"/>
          <w:lang w:val="es-MX"/>
        </w:rPr>
        <w:t>.</w:t>
      </w:r>
    </w:p>
    <w:p w:rsidR="00F1636C" w:rsidRPr="0050035B" w:rsidRDefault="00F1636C" w:rsidP="00166413">
      <w:pPr>
        <w:spacing w:line="360" w:lineRule="auto"/>
        <w:rPr>
          <w:rFonts w:ascii="Century Gothic" w:hAnsi="Century Gothic"/>
          <w:b/>
          <w:lang w:val="es-MX"/>
        </w:rPr>
      </w:pPr>
    </w:p>
    <w:p w:rsidR="00A02DFF" w:rsidRPr="0050035B" w:rsidRDefault="005267A7" w:rsidP="00166413">
      <w:pPr>
        <w:spacing w:line="360" w:lineRule="auto"/>
        <w:rPr>
          <w:rFonts w:ascii="Century Gothic" w:hAnsi="Century Gothic"/>
          <w:b/>
          <w:lang w:val="es-MX"/>
        </w:rPr>
      </w:pPr>
      <w:r w:rsidRPr="0050035B">
        <w:rPr>
          <w:rFonts w:ascii="Century Gothic" w:hAnsi="Century Gothic"/>
          <w:b/>
          <w:lang w:val="es-MX"/>
        </w:rPr>
        <w:t>4.</w:t>
      </w:r>
      <w:r w:rsidR="00A337B1" w:rsidRPr="0050035B">
        <w:rPr>
          <w:rFonts w:ascii="Century Gothic" w:hAnsi="Century Gothic"/>
          <w:b/>
          <w:lang w:val="es-MX"/>
        </w:rPr>
        <w:t>2</w:t>
      </w:r>
      <w:r w:rsidR="000D24A0" w:rsidRPr="0050035B">
        <w:rPr>
          <w:rFonts w:ascii="Century Gothic" w:hAnsi="Century Gothic"/>
          <w:b/>
          <w:lang w:val="es-MX"/>
        </w:rPr>
        <w:t>.</w:t>
      </w:r>
      <w:r w:rsidR="00A337B1" w:rsidRPr="0050035B">
        <w:rPr>
          <w:rFonts w:ascii="Century Gothic" w:hAnsi="Century Gothic"/>
          <w:b/>
          <w:lang w:val="es-MX"/>
        </w:rPr>
        <w:t xml:space="preserve"> </w:t>
      </w:r>
      <w:r w:rsidR="00A62158" w:rsidRPr="0050035B">
        <w:rPr>
          <w:rFonts w:ascii="Century Gothic" w:hAnsi="Century Gothic"/>
          <w:b/>
          <w:lang w:val="es-MX"/>
        </w:rPr>
        <w:t xml:space="preserve">Distribución de los </w:t>
      </w:r>
      <w:r w:rsidR="003B78F4" w:rsidRPr="0050035B">
        <w:rPr>
          <w:rFonts w:ascii="Century Gothic" w:hAnsi="Century Gothic"/>
          <w:b/>
          <w:lang w:val="es-MX"/>
        </w:rPr>
        <w:t>“</w:t>
      </w:r>
      <w:r w:rsidR="00A62158" w:rsidRPr="0050035B">
        <w:rPr>
          <w:rFonts w:ascii="Century Gothic" w:hAnsi="Century Gothic"/>
          <w:b/>
          <w:i/>
          <w:u w:val="single"/>
          <w:lang w:val="es-MX"/>
        </w:rPr>
        <w:t xml:space="preserve">Ingresos </w:t>
      </w:r>
      <w:r w:rsidR="003073A9" w:rsidRPr="0050035B">
        <w:rPr>
          <w:rFonts w:ascii="Century Gothic" w:hAnsi="Century Gothic"/>
          <w:b/>
          <w:i/>
          <w:u w:val="single"/>
          <w:lang w:val="es-MX"/>
        </w:rPr>
        <w:t>Propios</w:t>
      </w:r>
      <w:r w:rsidR="003B78F4" w:rsidRPr="0050035B">
        <w:rPr>
          <w:rFonts w:ascii="Century Gothic" w:hAnsi="Century Gothic"/>
          <w:b/>
          <w:lang w:val="es-MX"/>
        </w:rPr>
        <w:t>”</w:t>
      </w:r>
      <w:r w:rsidR="00A62158" w:rsidRPr="0050035B">
        <w:rPr>
          <w:rFonts w:ascii="Century Gothic" w:hAnsi="Century Gothic"/>
          <w:b/>
          <w:lang w:val="es-MX"/>
        </w:rPr>
        <w:t xml:space="preserve"> presupu</w:t>
      </w:r>
      <w:r w:rsidR="00A02DFF" w:rsidRPr="0050035B">
        <w:rPr>
          <w:rFonts w:ascii="Century Gothic" w:hAnsi="Century Gothic"/>
          <w:b/>
          <w:lang w:val="es-MX"/>
        </w:rPr>
        <w:t>e</w:t>
      </w:r>
      <w:r w:rsidR="00373DAB" w:rsidRPr="0050035B">
        <w:rPr>
          <w:rFonts w:ascii="Century Gothic" w:hAnsi="Century Gothic"/>
          <w:b/>
          <w:lang w:val="es-MX"/>
        </w:rPr>
        <w:t>stado</w:t>
      </w:r>
      <w:r w:rsidR="00F91F1A" w:rsidRPr="0050035B">
        <w:rPr>
          <w:rFonts w:ascii="Century Gothic" w:hAnsi="Century Gothic"/>
          <w:b/>
          <w:lang w:val="es-MX"/>
        </w:rPr>
        <w:t>s para el 202</w:t>
      </w:r>
      <w:r w:rsidR="008C6E0F">
        <w:rPr>
          <w:rFonts w:ascii="Century Gothic" w:hAnsi="Century Gothic"/>
          <w:b/>
          <w:lang w:val="es-MX"/>
        </w:rPr>
        <w:t>2</w:t>
      </w:r>
    </w:p>
    <w:p w:rsidR="00E6604E" w:rsidRPr="0050035B" w:rsidRDefault="00E6604E" w:rsidP="00166413">
      <w:pPr>
        <w:spacing w:line="360" w:lineRule="auto"/>
        <w:jc w:val="both"/>
        <w:rPr>
          <w:rFonts w:ascii="Century Gothic" w:hAnsi="Century Gothic"/>
          <w:lang w:val="es-MX"/>
        </w:rPr>
      </w:pPr>
      <w:r w:rsidRPr="0050035B">
        <w:rPr>
          <w:rFonts w:ascii="Century Gothic" w:hAnsi="Century Gothic"/>
          <w:lang w:val="es-MX"/>
        </w:rPr>
        <w:t>Para las administraciones</w:t>
      </w:r>
      <w:r w:rsidR="001C4C0F" w:rsidRPr="0050035B">
        <w:rPr>
          <w:rFonts w:ascii="Century Gothic" w:hAnsi="Century Gothic"/>
          <w:lang w:val="es-MX"/>
        </w:rPr>
        <w:t xml:space="preserve"> </w:t>
      </w:r>
      <w:r w:rsidRPr="0050035B">
        <w:rPr>
          <w:rFonts w:ascii="Century Gothic" w:hAnsi="Century Gothic"/>
          <w:lang w:val="es-MX"/>
        </w:rPr>
        <w:t xml:space="preserve">públicas municipales, los ingresos </w:t>
      </w:r>
      <w:r w:rsidR="00CC77DA" w:rsidRPr="0050035B">
        <w:rPr>
          <w:rFonts w:ascii="Century Gothic" w:hAnsi="Century Gothic"/>
          <w:lang w:val="es-MX"/>
        </w:rPr>
        <w:t xml:space="preserve">fiscales </w:t>
      </w:r>
      <w:r w:rsidR="0054345D" w:rsidRPr="0050035B">
        <w:rPr>
          <w:rFonts w:ascii="Century Gothic" w:hAnsi="Century Gothic"/>
          <w:lang w:val="es-MX"/>
        </w:rPr>
        <w:t>(</w:t>
      </w:r>
      <w:r w:rsidR="00CC77DA" w:rsidRPr="0050035B">
        <w:rPr>
          <w:rFonts w:ascii="Century Gothic" w:hAnsi="Century Gothic"/>
          <w:lang w:val="es-MX"/>
        </w:rPr>
        <w:t>que por costumbre se denominan como Ingresos Propios</w:t>
      </w:r>
      <w:r w:rsidR="0054345D" w:rsidRPr="0050035B">
        <w:rPr>
          <w:rFonts w:ascii="Century Gothic" w:hAnsi="Century Gothic"/>
          <w:lang w:val="es-MX"/>
        </w:rPr>
        <w:t>)</w:t>
      </w:r>
      <w:r w:rsidR="00CC77DA" w:rsidRPr="0050035B">
        <w:rPr>
          <w:rFonts w:ascii="Century Gothic" w:hAnsi="Century Gothic"/>
          <w:lang w:val="es-MX"/>
        </w:rPr>
        <w:t xml:space="preserve"> son de vital importancia;</w:t>
      </w:r>
      <w:r w:rsidR="001C4C0F" w:rsidRPr="0050035B">
        <w:rPr>
          <w:rFonts w:ascii="Century Gothic" w:hAnsi="Century Gothic"/>
          <w:lang w:val="es-MX"/>
        </w:rPr>
        <w:t xml:space="preserve"> </w:t>
      </w:r>
      <w:r w:rsidRPr="0050035B">
        <w:rPr>
          <w:rFonts w:ascii="Century Gothic" w:hAnsi="Century Gothic"/>
          <w:lang w:val="es-MX"/>
        </w:rPr>
        <w:lastRenderedPageBreak/>
        <w:t xml:space="preserve">ya que </w:t>
      </w:r>
      <w:r w:rsidR="00CC77DA" w:rsidRPr="0050035B">
        <w:rPr>
          <w:rFonts w:ascii="Century Gothic" w:hAnsi="Century Gothic"/>
          <w:lang w:val="es-MX"/>
        </w:rPr>
        <w:t xml:space="preserve">en la medida en la que éstos </w:t>
      </w:r>
      <w:r w:rsidR="0054345D" w:rsidRPr="0050035B">
        <w:rPr>
          <w:rFonts w:ascii="Century Gothic" w:hAnsi="Century Gothic"/>
          <w:lang w:val="es-MX"/>
        </w:rPr>
        <w:t>son robustecidos</w:t>
      </w:r>
      <w:r w:rsidR="00CC77DA" w:rsidRPr="0050035B">
        <w:rPr>
          <w:rFonts w:ascii="Century Gothic" w:hAnsi="Century Gothic"/>
          <w:lang w:val="es-MX"/>
        </w:rPr>
        <w:t xml:space="preserve"> proporcionan</w:t>
      </w:r>
      <w:r w:rsidRPr="0050035B">
        <w:rPr>
          <w:rFonts w:ascii="Century Gothic" w:hAnsi="Century Gothic"/>
          <w:lang w:val="es-MX"/>
        </w:rPr>
        <w:t xml:space="preserve"> </w:t>
      </w:r>
      <w:r w:rsidR="00C12CBD" w:rsidRPr="0050035B">
        <w:rPr>
          <w:rFonts w:ascii="Century Gothic" w:hAnsi="Century Gothic"/>
          <w:lang w:val="es-MX"/>
        </w:rPr>
        <w:t>mayor</w:t>
      </w:r>
      <w:r w:rsidR="001C4C0F" w:rsidRPr="0050035B">
        <w:rPr>
          <w:rFonts w:ascii="Century Gothic" w:hAnsi="Century Gothic"/>
          <w:lang w:val="es-MX"/>
        </w:rPr>
        <w:t xml:space="preserve"> </w:t>
      </w:r>
      <w:r w:rsidR="0054345D" w:rsidRPr="0050035B">
        <w:rPr>
          <w:rFonts w:ascii="Century Gothic" w:hAnsi="Century Gothic"/>
          <w:lang w:val="es-MX"/>
        </w:rPr>
        <w:t xml:space="preserve">autonomía financiera y solidez al ente público. </w:t>
      </w:r>
    </w:p>
    <w:p w:rsidR="0054345D" w:rsidRPr="0050035B" w:rsidRDefault="0054345D" w:rsidP="00166413">
      <w:pPr>
        <w:spacing w:line="360" w:lineRule="auto"/>
        <w:jc w:val="both"/>
        <w:rPr>
          <w:rFonts w:ascii="Century Gothic" w:hAnsi="Century Gothic"/>
          <w:lang w:val="es-MX"/>
        </w:rPr>
      </w:pPr>
    </w:p>
    <w:p w:rsidR="004172C6" w:rsidRPr="0050035B" w:rsidRDefault="00A02DFF" w:rsidP="00E6604E">
      <w:pPr>
        <w:spacing w:line="360" w:lineRule="auto"/>
        <w:ind w:firstLine="720"/>
        <w:jc w:val="both"/>
        <w:rPr>
          <w:rFonts w:ascii="Century Gothic" w:hAnsi="Century Gothic"/>
          <w:lang w:val="es-MX"/>
        </w:rPr>
      </w:pPr>
      <w:r w:rsidRPr="0050035B">
        <w:rPr>
          <w:rFonts w:ascii="Century Gothic" w:hAnsi="Century Gothic"/>
          <w:lang w:val="es-MX"/>
        </w:rPr>
        <w:t xml:space="preserve">Los ingresos </w:t>
      </w:r>
      <w:r w:rsidR="0054345D" w:rsidRPr="0050035B">
        <w:rPr>
          <w:rFonts w:ascii="Century Gothic" w:hAnsi="Century Gothic"/>
          <w:lang w:val="es-MX"/>
        </w:rPr>
        <w:t>propios</w:t>
      </w:r>
      <w:r w:rsidRPr="0050035B">
        <w:rPr>
          <w:rFonts w:ascii="Century Gothic" w:hAnsi="Century Gothic"/>
          <w:lang w:val="es-MX"/>
        </w:rPr>
        <w:t xml:space="preserve"> corresponden al total de percepciones económicas recaudadas directamente por el Municipio</w:t>
      </w:r>
      <w:r w:rsidR="00CC200B" w:rsidRPr="0050035B">
        <w:rPr>
          <w:rFonts w:ascii="Century Gothic" w:hAnsi="Century Gothic"/>
          <w:lang w:val="es-MX"/>
        </w:rPr>
        <w:t>. Esta recaudación se da a través de impuestos, derechos, productos, aprovechamientos y contribuciones</w:t>
      </w:r>
      <w:r w:rsidR="00483438" w:rsidRPr="0050035B">
        <w:rPr>
          <w:rFonts w:ascii="Century Gothic" w:hAnsi="Century Gothic"/>
          <w:lang w:val="es-MX"/>
        </w:rPr>
        <w:t>.</w:t>
      </w:r>
    </w:p>
    <w:p w:rsidR="00580613" w:rsidRPr="0050035B" w:rsidRDefault="00580613" w:rsidP="00754E1F">
      <w:pPr>
        <w:spacing w:line="360" w:lineRule="auto"/>
        <w:jc w:val="both"/>
        <w:rPr>
          <w:rFonts w:ascii="Century Gothic" w:hAnsi="Century Gothic"/>
          <w:lang w:val="es-MX"/>
        </w:rPr>
      </w:pPr>
    </w:p>
    <w:p w:rsidR="0024110C" w:rsidRDefault="004172C6" w:rsidP="008D7D5A">
      <w:pPr>
        <w:spacing w:line="360" w:lineRule="auto"/>
        <w:jc w:val="both"/>
        <w:rPr>
          <w:rFonts w:ascii="Century Gothic" w:hAnsi="Century Gothic"/>
          <w:lang w:val="es-MX"/>
        </w:rPr>
      </w:pPr>
      <w:r w:rsidRPr="0050035B">
        <w:rPr>
          <w:rFonts w:ascii="Century Gothic" w:hAnsi="Century Gothic"/>
          <w:lang w:val="es-MX"/>
        </w:rPr>
        <w:tab/>
      </w:r>
      <w:r w:rsidR="00F91F1A" w:rsidRPr="0050035B">
        <w:rPr>
          <w:rFonts w:ascii="Century Gothic" w:hAnsi="Century Gothic"/>
          <w:lang w:val="es-MX"/>
        </w:rPr>
        <w:t>Para el ejercicio Fiscal 202</w:t>
      </w:r>
      <w:r w:rsidR="008C6E0F">
        <w:rPr>
          <w:rFonts w:ascii="Century Gothic" w:hAnsi="Century Gothic"/>
          <w:lang w:val="es-MX"/>
        </w:rPr>
        <w:t>2</w:t>
      </w:r>
      <w:r w:rsidR="00E6604E" w:rsidRPr="0050035B">
        <w:rPr>
          <w:rFonts w:ascii="Century Gothic" w:hAnsi="Century Gothic"/>
          <w:lang w:val="es-MX"/>
        </w:rPr>
        <w:t xml:space="preserve">, la proyección de </w:t>
      </w:r>
      <w:r w:rsidR="00E6604E" w:rsidRPr="0050035B">
        <w:rPr>
          <w:rFonts w:ascii="Century Gothic" w:hAnsi="Century Gothic"/>
          <w:b/>
          <w:lang w:val="es-MX"/>
        </w:rPr>
        <w:t>Ingreso</w:t>
      </w:r>
      <w:r w:rsidR="00D43569" w:rsidRPr="0050035B">
        <w:rPr>
          <w:rFonts w:ascii="Century Gothic" w:hAnsi="Century Gothic"/>
          <w:b/>
          <w:lang w:val="es-MX"/>
        </w:rPr>
        <w:t>s</w:t>
      </w:r>
      <w:r w:rsidR="00E6604E" w:rsidRPr="0050035B">
        <w:rPr>
          <w:rFonts w:ascii="Century Gothic" w:hAnsi="Century Gothic"/>
          <w:b/>
          <w:lang w:val="es-MX"/>
        </w:rPr>
        <w:t xml:space="preserve"> </w:t>
      </w:r>
      <w:r w:rsidR="0024110C" w:rsidRPr="0050035B">
        <w:rPr>
          <w:rFonts w:ascii="Century Gothic" w:hAnsi="Century Gothic"/>
          <w:b/>
          <w:lang w:val="es-MX"/>
        </w:rPr>
        <w:t>Propios</w:t>
      </w:r>
      <w:r w:rsidR="00E6604E" w:rsidRPr="0050035B">
        <w:rPr>
          <w:rFonts w:ascii="Century Gothic" w:hAnsi="Century Gothic"/>
          <w:lang w:val="es-MX"/>
        </w:rPr>
        <w:t xml:space="preserve"> asciende a un monto </w:t>
      </w:r>
      <w:r w:rsidR="00AC73E3" w:rsidRPr="0050035B">
        <w:rPr>
          <w:rFonts w:ascii="Century Gothic" w:hAnsi="Century Gothic"/>
          <w:lang w:val="es-MX"/>
        </w:rPr>
        <w:t xml:space="preserve">de </w:t>
      </w:r>
      <w:r w:rsidR="008C6E0F" w:rsidRPr="008C6E0F">
        <w:rPr>
          <w:rFonts w:ascii="Century Gothic" w:hAnsi="Century Gothic"/>
          <w:b/>
          <w:lang w:val="es-MX"/>
        </w:rPr>
        <w:t xml:space="preserve">$2,907,750,541.46 </w:t>
      </w:r>
      <w:r w:rsidR="009D2869" w:rsidRPr="0050035B">
        <w:rPr>
          <w:rFonts w:ascii="Century Gothic" w:hAnsi="Century Gothic"/>
          <w:b/>
          <w:lang w:val="es-MX"/>
        </w:rPr>
        <w:t>(</w:t>
      </w:r>
      <w:r w:rsidR="008C6E0F">
        <w:rPr>
          <w:rFonts w:ascii="Century Gothic" w:hAnsi="Century Gothic"/>
          <w:b/>
          <w:lang w:val="es-MX"/>
        </w:rPr>
        <w:t xml:space="preserve">Dos mil novecientos siete millones setecientos cincuenta mil quinientos cuarenta y un </w:t>
      </w:r>
      <w:r w:rsidR="008C6E0F" w:rsidRPr="0050035B">
        <w:rPr>
          <w:rFonts w:ascii="Century Gothic" w:eastAsia="Times New Roman" w:hAnsi="Century Gothic" w:cs="Arial"/>
          <w:b/>
          <w:color w:val="000000"/>
          <w:lang w:val="es-MX" w:eastAsia="es-ES"/>
        </w:rPr>
        <w:t xml:space="preserve">pesos </w:t>
      </w:r>
      <w:r w:rsidR="008C6E0F">
        <w:rPr>
          <w:rFonts w:ascii="Century Gothic" w:eastAsia="Times New Roman" w:hAnsi="Century Gothic" w:cs="Arial"/>
          <w:b/>
          <w:color w:val="000000"/>
          <w:lang w:val="es-MX" w:eastAsia="es-ES"/>
        </w:rPr>
        <w:t>46</w:t>
      </w:r>
      <w:r w:rsidR="008C6E0F" w:rsidRPr="0050035B">
        <w:rPr>
          <w:rFonts w:ascii="Century Gothic" w:eastAsia="Times New Roman" w:hAnsi="Century Gothic" w:cs="Arial"/>
          <w:b/>
          <w:color w:val="000000"/>
          <w:lang w:val="es-MX" w:eastAsia="es-ES"/>
        </w:rPr>
        <w:t>/100 Moneda Nacional)</w:t>
      </w:r>
      <w:r w:rsidR="00754E1F" w:rsidRPr="0050035B">
        <w:rPr>
          <w:rFonts w:ascii="Century Gothic" w:hAnsi="Century Gothic"/>
          <w:lang w:val="es-MX"/>
        </w:rPr>
        <w:t>, canti</w:t>
      </w:r>
      <w:r w:rsidR="00E6604E" w:rsidRPr="0050035B">
        <w:rPr>
          <w:rFonts w:ascii="Century Gothic" w:hAnsi="Century Gothic"/>
          <w:lang w:val="es-MX"/>
        </w:rPr>
        <w:t xml:space="preserve">dad que representa el </w:t>
      </w:r>
      <w:r w:rsidR="00D57A8D" w:rsidRPr="0050035B">
        <w:rPr>
          <w:rFonts w:ascii="Century Gothic" w:hAnsi="Century Gothic"/>
          <w:lang w:val="es-MX"/>
        </w:rPr>
        <w:t>44</w:t>
      </w:r>
      <w:r w:rsidR="008C6E0F">
        <w:rPr>
          <w:rFonts w:ascii="Century Gothic" w:hAnsi="Century Gothic"/>
          <w:lang w:val="es-MX"/>
        </w:rPr>
        <w:t>.08</w:t>
      </w:r>
      <w:r w:rsidR="00C6105B" w:rsidRPr="0050035B">
        <w:rPr>
          <w:rFonts w:ascii="Century Gothic" w:hAnsi="Century Gothic"/>
          <w:lang w:val="es-MX"/>
        </w:rPr>
        <w:t>%</w:t>
      </w:r>
      <w:r w:rsidR="00DD4B4C" w:rsidRPr="0050035B">
        <w:rPr>
          <w:rFonts w:ascii="Century Gothic" w:hAnsi="Century Gothic"/>
          <w:lang w:val="es-MX"/>
        </w:rPr>
        <w:t xml:space="preserve"> </w:t>
      </w:r>
      <w:r w:rsidR="00E6604E" w:rsidRPr="0050035B">
        <w:rPr>
          <w:rFonts w:ascii="Century Gothic" w:hAnsi="Century Gothic"/>
          <w:lang w:val="es-MX"/>
        </w:rPr>
        <w:t xml:space="preserve">del total de </w:t>
      </w:r>
      <w:r w:rsidR="00754E1F" w:rsidRPr="0050035B">
        <w:rPr>
          <w:rFonts w:ascii="Century Gothic" w:hAnsi="Century Gothic"/>
          <w:lang w:val="es-MX"/>
        </w:rPr>
        <w:t xml:space="preserve">ingresos que se espera percibir (el porcentaje es </w:t>
      </w:r>
      <w:r w:rsidR="00271A44" w:rsidRPr="0050035B">
        <w:rPr>
          <w:rFonts w:ascii="Century Gothic" w:hAnsi="Century Gothic"/>
          <w:lang w:val="es-MX"/>
        </w:rPr>
        <w:t>calculado</w:t>
      </w:r>
      <w:r w:rsidR="00754E1F" w:rsidRPr="0050035B">
        <w:rPr>
          <w:rFonts w:ascii="Century Gothic" w:hAnsi="Century Gothic"/>
          <w:lang w:val="es-MX"/>
        </w:rPr>
        <w:t xml:space="preserve"> del total de ingresos proyectados, sin considerar la cantidad que se prevé solicitar como financiamiento)</w:t>
      </w:r>
      <w:r w:rsidR="00271A44" w:rsidRPr="0050035B">
        <w:rPr>
          <w:rFonts w:ascii="Century Gothic" w:hAnsi="Century Gothic"/>
          <w:lang w:val="es-MX"/>
        </w:rPr>
        <w:t xml:space="preserve"> (Ver tabla 4.2)</w:t>
      </w:r>
      <w:r w:rsidR="00D43569" w:rsidRPr="0050035B">
        <w:rPr>
          <w:rFonts w:ascii="Century Gothic" w:hAnsi="Century Gothic"/>
          <w:lang w:val="es-MX"/>
        </w:rPr>
        <w:t xml:space="preserve">. </w:t>
      </w:r>
    </w:p>
    <w:p w:rsidR="007B0C1A" w:rsidRDefault="007B0C1A" w:rsidP="008D7D5A">
      <w:pPr>
        <w:spacing w:line="360" w:lineRule="auto"/>
        <w:jc w:val="both"/>
        <w:rPr>
          <w:rFonts w:ascii="Century Gothic" w:hAnsi="Century Gothic"/>
          <w:lang w:val="es-MX"/>
        </w:rPr>
      </w:pPr>
    </w:p>
    <w:p w:rsidR="00271A44" w:rsidRPr="0050035B" w:rsidRDefault="00271A44" w:rsidP="00271A44">
      <w:pPr>
        <w:jc w:val="center"/>
        <w:rPr>
          <w:rFonts w:ascii="Century Gothic" w:hAnsi="Century Gothic"/>
          <w:sz w:val="22"/>
          <w:szCs w:val="22"/>
          <w:lang w:val="es-MX"/>
        </w:rPr>
      </w:pPr>
      <w:r w:rsidRPr="0050035B">
        <w:rPr>
          <w:rFonts w:ascii="Century Gothic" w:hAnsi="Century Gothic"/>
          <w:b/>
          <w:sz w:val="22"/>
          <w:szCs w:val="22"/>
          <w:lang w:val="es-MX"/>
        </w:rPr>
        <w:t xml:space="preserve">Tabla 4.2. </w:t>
      </w:r>
      <w:r w:rsidRPr="0050035B">
        <w:rPr>
          <w:rFonts w:ascii="Century Gothic" w:hAnsi="Century Gothic"/>
          <w:sz w:val="22"/>
          <w:szCs w:val="22"/>
          <w:lang w:val="es-MX"/>
        </w:rPr>
        <w:t>Proyección de Ingresos Propios 20</w:t>
      </w:r>
      <w:r w:rsidR="00846DE2" w:rsidRPr="0050035B">
        <w:rPr>
          <w:rFonts w:ascii="Century Gothic" w:hAnsi="Century Gothic"/>
          <w:sz w:val="22"/>
          <w:szCs w:val="22"/>
          <w:lang w:val="es-MX"/>
        </w:rPr>
        <w:t>2</w:t>
      </w:r>
      <w:r w:rsidR="008C6E0F">
        <w:rPr>
          <w:rFonts w:ascii="Century Gothic" w:hAnsi="Century Gothic"/>
          <w:sz w:val="22"/>
          <w:szCs w:val="22"/>
          <w:lang w:val="es-MX"/>
        </w:rPr>
        <w:t>2</w:t>
      </w:r>
    </w:p>
    <w:tbl>
      <w:tblPr>
        <w:tblStyle w:val="Tablaconcuadrcula"/>
        <w:tblpPr w:leftFromText="141" w:rightFromText="141" w:vertAnchor="text" w:horzAnchor="margin" w:tblpXSpec="center" w:tblpY="178"/>
        <w:tblW w:w="7366" w:type="dxa"/>
        <w:tblLook w:val="04A0" w:firstRow="1" w:lastRow="0" w:firstColumn="1" w:lastColumn="0" w:noHBand="0" w:noVBand="1"/>
      </w:tblPr>
      <w:tblGrid>
        <w:gridCol w:w="2833"/>
        <w:gridCol w:w="1896"/>
        <w:gridCol w:w="2637"/>
      </w:tblGrid>
      <w:tr w:rsidR="00064B45" w:rsidRPr="0050035B" w:rsidTr="00E44364">
        <w:trPr>
          <w:trHeight w:val="543"/>
        </w:trPr>
        <w:tc>
          <w:tcPr>
            <w:tcW w:w="2833" w:type="dxa"/>
            <w:shd w:val="clear" w:color="auto" w:fill="FABF8F" w:themeFill="accent6" w:themeFillTint="99"/>
            <w:vAlign w:val="center"/>
          </w:tcPr>
          <w:p w:rsidR="00064B45" w:rsidRPr="00E44364" w:rsidRDefault="00064B45" w:rsidP="00064B45">
            <w:pPr>
              <w:jc w:val="center"/>
              <w:rPr>
                <w:rFonts w:ascii="Century Gothic" w:hAnsi="Century Gothic"/>
                <w:b/>
                <w:color w:val="000000" w:themeColor="text1"/>
              </w:rPr>
            </w:pPr>
            <w:r w:rsidRPr="00E44364">
              <w:rPr>
                <w:rFonts w:ascii="Century Gothic" w:hAnsi="Century Gothic"/>
                <w:b/>
                <w:color w:val="000000" w:themeColor="text1"/>
              </w:rPr>
              <w:t>TIPO DE INGRESO PROPIO</w:t>
            </w:r>
          </w:p>
        </w:tc>
        <w:tc>
          <w:tcPr>
            <w:tcW w:w="1896" w:type="dxa"/>
            <w:shd w:val="clear" w:color="auto" w:fill="FABF8F" w:themeFill="accent6" w:themeFillTint="99"/>
            <w:vAlign w:val="center"/>
          </w:tcPr>
          <w:p w:rsidR="00064B45" w:rsidRPr="00E44364" w:rsidRDefault="00064B45" w:rsidP="008C6E0F">
            <w:pPr>
              <w:jc w:val="center"/>
              <w:rPr>
                <w:rFonts w:ascii="Century Gothic" w:hAnsi="Century Gothic"/>
                <w:b/>
                <w:bCs/>
                <w:color w:val="000000" w:themeColor="text1"/>
                <w:sz w:val="20"/>
                <w:szCs w:val="18"/>
              </w:rPr>
            </w:pPr>
            <w:r w:rsidRPr="00E44364">
              <w:rPr>
                <w:rFonts w:ascii="Century Gothic" w:hAnsi="Century Gothic"/>
                <w:b/>
                <w:bCs/>
                <w:color w:val="000000" w:themeColor="text1"/>
                <w:sz w:val="20"/>
                <w:szCs w:val="18"/>
              </w:rPr>
              <w:t>Presupuestado 202</w:t>
            </w:r>
            <w:r w:rsidR="008C6E0F" w:rsidRPr="00E44364">
              <w:rPr>
                <w:rFonts w:ascii="Century Gothic" w:hAnsi="Century Gothic"/>
                <w:b/>
                <w:bCs/>
                <w:color w:val="000000" w:themeColor="text1"/>
                <w:sz w:val="20"/>
                <w:szCs w:val="18"/>
              </w:rPr>
              <w:t>2</w:t>
            </w:r>
          </w:p>
        </w:tc>
        <w:tc>
          <w:tcPr>
            <w:tcW w:w="2637" w:type="dxa"/>
            <w:shd w:val="clear" w:color="auto" w:fill="FABF8F" w:themeFill="accent6" w:themeFillTint="99"/>
            <w:vAlign w:val="center"/>
          </w:tcPr>
          <w:p w:rsidR="00064B45" w:rsidRPr="00E44364" w:rsidRDefault="00064B45" w:rsidP="00064B45">
            <w:pPr>
              <w:jc w:val="center"/>
              <w:rPr>
                <w:rFonts w:ascii="Century Gothic" w:hAnsi="Century Gothic"/>
                <w:b/>
                <w:bCs/>
                <w:color w:val="000000" w:themeColor="text1"/>
                <w:sz w:val="20"/>
                <w:szCs w:val="18"/>
              </w:rPr>
            </w:pPr>
            <w:r w:rsidRPr="00E44364">
              <w:rPr>
                <w:rFonts w:ascii="Century Gothic" w:hAnsi="Century Gothic"/>
                <w:b/>
                <w:bCs/>
                <w:color w:val="000000" w:themeColor="text1"/>
                <w:sz w:val="20"/>
                <w:szCs w:val="18"/>
              </w:rPr>
              <w:t>PORCENTAJE DE INGRESOS</w:t>
            </w:r>
          </w:p>
        </w:tc>
      </w:tr>
      <w:tr w:rsidR="008C6E0F" w:rsidRPr="0050035B" w:rsidTr="007B0C1A">
        <w:trPr>
          <w:trHeight w:val="160"/>
        </w:trPr>
        <w:tc>
          <w:tcPr>
            <w:tcW w:w="2833" w:type="dxa"/>
            <w:shd w:val="clear" w:color="auto" w:fill="7F7F7F" w:themeFill="text1" w:themeFillTint="80"/>
            <w:vAlign w:val="bottom"/>
          </w:tcPr>
          <w:p w:rsidR="008C6E0F" w:rsidRPr="0050035B" w:rsidRDefault="008C6E0F" w:rsidP="008C6E0F">
            <w:pPr>
              <w:spacing w:line="360" w:lineRule="auto"/>
              <w:jc w:val="center"/>
              <w:rPr>
                <w:rFonts w:ascii="Century Gothic" w:hAnsi="Century Gothic"/>
                <w:color w:val="FFFFFF" w:themeColor="background1"/>
              </w:rPr>
            </w:pPr>
            <w:r w:rsidRPr="0050035B">
              <w:rPr>
                <w:rFonts w:ascii="Century Gothic" w:hAnsi="Century Gothic" w:cs="Calibri"/>
                <w:color w:val="FFFFFF" w:themeColor="background1"/>
              </w:rPr>
              <w:t>Impuestos</w:t>
            </w:r>
          </w:p>
        </w:tc>
        <w:tc>
          <w:tcPr>
            <w:tcW w:w="1896" w:type="dxa"/>
            <w:vAlign w:val="center"/>
          </w:tcPr>
          <w:p w:rsidR="008C6E0F" w:rsidRPr="008C6E0F" w:rsidRDefault="008C6E0F" w:rsidP="008C6E0F">
            <w:pPr>
              <w:jc w:val="center"/>
              <w:rPr>
                <w:rFonts w:ascii="Century Gothic" w:hAnsi="Century Gothic"/>
                <w:bCs/>
                <w:color w:val="000000"/>
                <w:sz w:val="20"/>
                <w:szCs w:val="18"/>
              </w:rPr>
            </w:pPr>
            <w:r w:rsidRPr="008C6E0F">
              <w:rPr>
                <w:rFonts w:ascii="Century Gothic" w:hAnsi="Century Gothic"/>
                <w:bCs/>
                <w:color w:val="000000"/>
                <w:sz w:val="20"/>
                <w:szCs w:val="18"/>
              </w:rPr>
              <w:t>$2,281,770,937.58</w:t>
            </w:r>
          </w:p>
        </w:tc>
        <w:tc>
          <w:tcPr>
            <w:tcW w:w="2637" w:type="dxa"/>
            <w:vAlign w:val="center"/>
          </w:tcPr>
          <w:p w:rsidR="008C6E0F" w:rsidRPr="008C6E0F" w:rsidRDefault="008C6E0F" w:rsidP="008C6E0F">
            <w:pPr>
              <w:jc w:val="center"/>
              <w:rPr>
                <w:rFonts w:ascii="Century Gothic" w:hAnsi="Century Gothic"/>
                <w:bCs/>
                <w:color w:val="000000"/>
                <w:sz w:val="20"/>
                <w:szCs w:val="18"/>
              </w:rPr>
            </w:pPr>
            <w:r w:rsidRPr="008C6E0F">
              <w:rPr>
                <w:rFonts w:ascii="Century Gothic" w:hAnsi="Century Gothic"/>
                <w:bCs/>
                <w:color w:val="000000"/>
                <w:sz w:val="20"/>
                <w:szCs w:val="18"/>
              </w:rPr>
              <w:t>78.47%</w:t>
            </w:r>
          </w:p>
        </w:tc>
      </w:tr>
      <w:tr w:rsidR="008C6E0F" w:rsidRPr="0050035B" w:rsidTr="007B0C1A">
        <w:trPr>
          <w:trHeight w:val="254"/>
        </w:trPr>
        <w:tc>
          <w:tcPr>
            <w:tcW w:w="2833" w:type="dxa"/>
            <w:shd w:val="clear" w:color="auto" w:fill="7F7F7F" w:themeFill="text1" w:themeFillTint="80"/>
            <w:vAlign w:val="bottom"/>
          </w:tcPr>
          <w:p w:rsidR="008C6E0F" w:rsidRPr="0050035B" w:rsidRDefault="008C6E0F" w:rsidP="008C6E0F">
            <w:pPr>
              <w:spacing w:line="360" w:lineRule="auto"/>
              <w:jc w:val="center"/>
              <w:rPr>
                <w:rFonts w:ascii="Century Gothic" w:hAnsi="Century Gothic"/>
                <w:color w:val="FFFFFF" w:themeColor="background1"/>
              </w:rPr>
            </w:pPr>
            <w:r w:rsidRPr="0050035B">
              <w:rPr>
                <w:rFonts w:ascii="Century Gothic" w:hAnsi="Century Gothic" w:cs="Calibri"/>
                <w:color w:val="FFFFFF" w:themeColor="background1"/>
              </w:rPr>
              <w:t>Contribuciones</w:t>
            </w:r>
          </w:p>
        </w:tc>
        <w:tc>
          <w:tcPr>
            <w:tcW w:w="1896" w:type="dxa"/>
            <w:vAlign w:val="center"/>
          </w:tcPr>
          <w:p w:rsidR="008C6E0F" w:rsidRPr="008C6E0F" w:rsidRDefault="008C6E0F" w:rsidP="008C6E0F">
            <w:pPr>
              <w:jc w:val="center"/>
              <w:rPr>
                <w:rFonts w:ascii="Century Gothic" w:hAnsi="Century Gothic"/>
                <w:bCs/>
                <w:color w:val="000000"/>
                <w:sz w:val="20"/>
                <w:szCs w:val="18"/>
              </w:rPr>
            </w:pPr>
            <w:r w:rsidRPr="008C6E0F">
              <w:rPr>
                <w:rFonts w:ascii="Century Gothic" w:hAnsi="Century Gothic"/>
                <w:bCs/>
                <w:color w:val="000000"/>
                <w:sz w:val="20"/>
                <w:szCs w:val="18"/>
              </w:rPr>
              <w:t>0.00</w:t>
            </w:r>
          </w:p>
        </w:tc>
        <w:tc>
          <w:tcPr>
            <w:tcW w:w="2637" w:type="dxa"/>
            <w:vAlign w:val="center"/>
          </w:tcPr>
          <w:p w:rsidR="008C6E0F" w:rsidRPr="008C6E0F" w:rsidRDefault="008C6E0F" w:rsidP="008C6E0F">
            <w:pPr>
              <w:spacing w:line="360" w:lineRule="auto"/>
              <w:jc w:val="center"/>
              <w:rPr>
                <w:rFonts w:ascii="Century Gothic" w:hAnsi="Century Gothic"/>
                <w:bCs/>
                <w:color w:val="000000"/>
                <w:sz w:val="20"/>
                <w:szCs w:val="18"/>
              </w:rPr>
            </w:pPr>
            <w:r w:rsidRPr="008C6E0F">
              <w:rPr>
                <w:rFonts w:ascii="Century Gothic" w:hAnsi="Century Gothic"/>
                <w:bCs/>
                <w:color w:val="000000"/>
                <w:sz w:val="20"/>
                <w:szCs w:val="18"/>
              </w:rPr>
              <w:t>0.00%</w:t>
            </w:r>
          </w:p>
        </w:tc>
      </w:tr>
      <w:tr w:rsidR="008C6E0F" w:rsidRPr="0050035B" w:rsidTr="007B0C1A">
        <w:trPr>
          <w:trHeight w:val="168"/>
        </w:trPr>
        <w:tc>
          <w:tcPr>
            <w:tcW w:w="2833" w:type="dxa"/>
            <w:shd w:val="clear" w:color="auto" w:fill="7F7F7F" w:themeFill="text1" w:themeFillTint="80"/>
            <w:vAlign w:val="bottom"/>
          </w:tcPr>
          <w:p w:rsidR="008C6E0F" w:rsidRPr="0050035B" w:rsidRDefault="008C6E0F" w:rsidP="008C6E0F">
            <w:pPr>
              <w:spacing w:line="360" w:lineRule="auto"/>
              <w:jc w:val="center"/>
              <w:rPr>
                <w:rFonts w:ascii="Century Gothic" w:hAnsi="Century Gothic"/>
                <w:color w:val="FFFFFF" w:themeColor="background1"/>
              </w:rPr>
            </w:pPr>
            <w:r w:rsidRPr="0050035B">
              <w:rPr>
                <w:rFonts w:ascii="Century Gothic" w:hAnsi="Century Gothic" w:cs="Calibri"/>
                <w:color w:val="FFFFFF" w:themeColor="background1"/>
              </w:rPr>
              <w:t>Derechos</w:t>
            </w:r>
          </w:p>
        </w:tc>
        <w:tc>
          <w:tcPr>
            <w:tcW w:w="1896" w:type="dxa"/>
            <w:vAlign w:val="center"/>
          </w:tcPr>
          <w:p w:rsidR="008C6E0F" w:rsidRPr="008C6E0F" w:rsidRDefault="008C6E0F" w:rsidP="008C6E0F">
            <w:pPr>
              <w:jc w:val="center"/>
              <w:rPr>
                <w:rFonts w:ascii="Century Gothic" w:hAnsi="Century Gothic"/>
                <w:bCs/>
                <w:color w:val="000000"/>
                <w:sz w:val="20"/>
                <w:szCs w:val="18"/>
              </w:rPr>
            </w:pPr>
            <w:r w:rsidRPr="008C6E0F">
              <w:rPr>
                <w:rFonts w:ascii="Century Gothic" w:hAnsi="Century Gothic"/>
                <w:bCs/>
                <w:color w:val="000000"/>
                <w:sz w:val="20"/>
                <w:szCs w:val="18"/>
              </w:rPr>
              <w:t>$268,214,704.19</w:t>
            </w:r>
          </w:p>
        </w:tc>
        <w:tc>
          <w:tcPr>
            <w:tcW w:w="2637" w:type="dxa"/>
            <w:vAlign w:val="center"/>
          </w:tcPr>
          <w:p w:rsidR="008C6E0F" w:rsidRPr="008C6E0F" w:rsidRDefault="008C6E0F" w:rsidP="008C6E0F">
            <w:pPr>
              <w:spacing w:line="360" w:lineRule="auto"/>
              <w:jc w:val="center"/>
              <w:rPr>
                <w:rFonts w:ascii="Century Gothic" w:hAnsi="Century Gothic"/>
                <w:bCs/>
                <w:color w:val="000000"/>
                <w:sz w:val="20"/>
                <w:szCs w:val="18"/>
              </w:rPr>
            </w:pPr>
            <w:r w:rsidRPr="008C6E0F">
              <w:rPr>
                <w:rFonts w:ascii="Century Gothic" w:hAnsi="Century Gothic"/>
                <w:bCs/>
                <w:color w:val="000000"/>
                <w:sz w:val="20"/>
                <w:szCs w:val="18"/>
              </w:rPr>
              <w:t>9.22%</w:t>
            </w:r>
          </w:p>
        </w:tc>
      </w:tr>
      <w:tr w:rsidR="008C6E0F" w:rsidRPr="0050035B" w:rsidTr="007B0C1A">
        <w:trPr>
          <w:trHeight w:val="164"/>
        </w:trPr>
        <w:tc>
          <w:tcPr>
            <w:tcW w:w="2833" w:type="dxa"/>
            <w:shd w:val="clear" w:color="auto" w:fill="7F7F7F" w:themeFill="text1" w:themeFillTint="80"/>
            <w:vAlign w:val="bottom"/>
          </w:tcPr>
          <w:p w:rsidR="008C6E0F" w:rsidRPr="0050035B" w:rsidRDefault="008C6E0F" w:rsidP="008C6E0F">
            <w:pPr>
              <w:spacing w:line="360" w:lineRule="auto"/>
              <w:jc w:val="center"/>
              <w:rPr>
                <w:rFonts w:ascii="Century Gothic" w:hAnsi="Century Gothic"/>
                <w:color w:val="FFFFFF" w:themeColor="background1"/>
              </w:rPr>
            </w:pPr>
            <w:r w:rsidRPr="0050035B">
              <w:rPr>
                <w:rFonts w:ascii="Century Gothic" w:hAnsi="Century Gothic" w:cs="Calibri"/>
                <w:color w:val="FFFFFF" w:themeColor="background1"/>
              </w:rPr>
              <w:t>Productos</w:t>
            </w:r>
          </w:p>
        </w:tc>
        <w:tc>
          <w:tcPr>
            <w:tcW w:w="1896" w:type="dxa"/>
            <w:vAlign w:val="center"/>
          </w:tcPr>
          <w:p w:rsidR="008C6E0F" w:rsidRPr="008C6E0F" w:rsidRDefault="008C6E0F" w:rsidP="008C6E0F">
            <w:pPr>
              <w:jc w:val="center"/>
              <w:rPr>
                <w:rFonts w:ascii="Century Gothic" w:hAnsi="Century Gothic"/>
                <w:bCs/>
                <w:color w:val="000000"/>
                <w:sz w:val="20"/>
                <w:szCs w:val="18"/>
              </w:rPr>
            </w:pPr>
            <w:r w:rsidRPr="008C6E0F">
              <w:rPr>
                <w:rFonts w:ascii="Century Gothic" w:hAnsi="Century Gothic"/>
                <w:bCs/>
                <w:color w:val="000000"/>
                <w:sz w:val="20"/>
                <w:szCs w:val="18"/>
              </w:rPr>
              <w:t>$129,665,602.07</w:t>
            </w:r>
          </w:p>
        </w:tc>
        <w:tc>
          <w:tcPr>
            <w:tcW w:w="2637" w:type="dxa"/>
            <w:vAlign w:val="center"/>
          </w:tcPr>
          <w:p w:rsidR="008C6E0F" w:rsidRPr="008C6E0F" w:rsidRDefault="008C6E0F" w:rsidP="008C6E0F">
            <w:pPr>
              <w:spacing w:line="360" w:lineRule="auto"/>
              <w:jc w:val="center"/>
              <w:rPr>
                <w:rFonts w:ascii="Century Gothic" w:hAnsi="Century Gothic"/>
                <w:bCs/>
                <w:color w:val="000000"/>
                <w:sz w:val="20"/>
                <w:szCs w:val="18"/>
              </w:rPr>
            </w:pPr>
            <w:r w:rsidRPr="008C6E0F">
              <w:rPr>
                <w:rFonts w:ascii="Century Gothic" w:hAnsi="Century Gothic"/>
                <w:bCs/>
                <w:color w:val="000000"/>
                <w:sz w:val="20"/>
                <w:szCs w:val="18"/>
              </w:rPr>
              <w:t>4.46%</w:t>
            </w:r>
          </w:p>
        </w:tc>
      </w:tr>
      <w:tr w:rsidR="008C6E0F" w:rsidRPr="0050035B" w:rsidTr="007B0C1A">
        <w:trPr>
          <w:trHeight w:val="184"/>
        </w:trPr>
        <w:tc>
          <w:tcPr>
            <w:tcW w:w="2833" w:type="dxa"/>
            <w:shd w:val="clear" w:color="auto" w:fill="7F7F7F" w:themeFill="text1" w:themeFillTint="80"/>
            <w:vAlign w:val="center"/>
          </w:tcPr>
          <w:p w:rsidR="008C6E0F" w:rsidRPr="0050035B" w:rsidRDefault="008C6E0F" w:rsidP="008C6E0F">
            <w:pPr>
              <w:spacing w:line="360" w:lineRule="auto"/>
              <w:jc w:val="center"/>
              <w:rPr>
                <w:rFonts w:ascii="Century Gothic" w:hAnsi="Century Gothic"/>
                <w:color w:val="FFFFFF" w:themeColor="background1"/>
              </w:rPr>
            </w:pPr>
            <w:r w:rsidRPr="0050035B">
              <w:rPr>
                <w:rFonts w:ascii="Century Gothic" w:hAnsi="Century Gothic" w:cs="Calibri"/>
                <w:color w:val="FFFFFF" w:themeColor="background1"/>
              </w:rPr>
              <w:t>Aprovechamientos</w:t>
            </w:r>
          </w:p>
        </w:tc>
        <w:tc>
          <w:tcPr>
            <w:tcW w:w="1896" w:type="dxa"/>
            <w:vAlign w:val="center"/>
          </w:tcPr>
          <w:p w:rsidR="008C6E0F" w:rsidRPr="008C6E0F" w:rsidRDefault="008C6E0F" w:rsidP="008C6E0F">
            <w:pPr>
              <w:jc w:val="center"/>
              <w:rPr>
                <w:rFonts w:ascii="Century Gothic" w:hAnsi="Century Gothic"/>
                <w:bCs/>
                <w:color w:val="000000"/>
                <w:sz w:val="20"/>
                <w:szCs w:val="18"/>
              </w:rPr>
            </w:pPr>
            <w:r w:rsidRPr="008C6E0F">
              <w:rPr>
                <w:rFonts w:ascii="Century Gothic" w:hAnsi="Century Gothic"/>
                <w:bCs/>
                <w:color w:val="000000"/>
                <w:sz w:val="20"/>
                <w:szCs w:val="18"/>
              </w:rPr>
              <w:t>$228,099,297.62</w:t>
            </w:r>
          </w:p>
        </w:tc>
        <w:tc>
          <w:tcPr>
            <w:tcW w:w="2637" w:type="dxa"/>
            <w:vAlign w:val="center"/>
          </w:tcPr>
          <w:p w:rsidR="008C6E0F" w:rsidRPr="008C6E0F" w:rsidRDefault="00E251F5" w:rsidP="008C6E0F">
            <w:pPr>
              <w:spacing w:line="360" w:lineRule="auto"/>
              <w:jc w:val="center"/>
              <w:rPr>
                <w:rFonts w:ascii="Century Gothic" w:hAnsi="Century Gothic"/>
                <w:bCs/>
                <w:color w:val="000000"/>
                <w:sz w:val="20"/>
                <w:szCs w:val="18"/>
              </w:rPr>
            </w:pPr>
            <w:r>
              <w:rPr>
                <w:rFonts w:ascii="Century Gothic" w:hAnsi="Century Gothic"/>
                <w:bCs/>
                <w:color w:val="000000"/>
                <w:sz w:val="20"/>
                <w:szCs w:val="18"/>
              </w:rPr>
              <w:t>7.85</w:t>
            </w:r>
            <w:r w:rsidR="008C6E0F" w:rsidRPr="008C6E0F">
              <w:rPr>
                <w:rFonts w:ascii="Century Gothic" w:hAnsi="Century Gothic"/>
                <w:bCs/>
                <w:color w:val="000000"/>
                <w:sz w:val="20"/>
                <w:szCs w:val="18"/>
              </w:rPr>
              <w:t>%</w:t>
            </w:r>
          </w:p>
        </w:tc>
      </w:tr>
      <w:tr w:rsidR="008C6E0F" w:rsidRPr="0050035B" w:rsidTr="007B0C1A">
        <w:trPr>
          <w:trHeight w:val="99"/>
        </w:trPr>
        <w:tc>
          <w:tcPr>
            <w:tcW w:w="2833" w:type="dxa"/>
            <w:shd w:val="clear" w:color="auto" w:fill="7F7F7F" w:themeFill="text1" w:themeFillTint="80"/>
            <w:vAlign w:val="bottom"/>
          </w:tcPr>
          <w:p w:rsidR="008C6E0F" w:rsidRPr="0050035B" w:rsidRDefault="008C6E0F" w:rsidP="008C6E0F">
            <w:pPr>
              <w:spacing w:line="360" w:lineRule="auto"/>
              <w:jc w:val="center"/>
              <w:rPr>
                <w:rFonts w:ascii="Century Gothic" w:hAnsi="Century Gothic"/>
                <w:b/>
                <w:color w:val="FFFFFF" w:themeColor="background1"/>
              </w:rPr>
            </w:pPr>
            <w:r w:rsidRPr="0050035B">
              <w:rPr>
                <w:rFonts w:ascii="Century Gothic" w:hAnsi="Century Gothic"/>
                <w:b/>
                <w:color w:val="FFFFFF" w:themeColor="background1"/>
              </w:rPr>
              <w:t>Total Ingreso Propio</w:t>
            </w:r>
          </w:p>
        </w:tc>
        <w:tc>
          <w:tcPr>
            <w:tcW w:w="1896" w:type="dxa"/>
            <w:vAlign w:val="center"/>
          </w:tcPr>
          <w:p w:rsidR="008C6E0F" w:rsidRPr="008C6E0F" w:rsidRDefault="008C6E0F" w:rsidP="008C6E0F">
            <w:pPr>
              <w:jc w:val="center"/>
              <w:rPr>
                <w:rFonts w:ascii="Century Gothic" w:hAnsi="Century Gothic"/>
                <w:b/>
                <w:bCs/>
                <w:color w:val="000000"/>
                <w:sz w:val="20"/>
                <w:szCs w:val="18"/>
              </w:rPr>
            </w:pPr>
            <w:r w:rsidRPr="008C6E0F">
              <w:rPr>
                <w:rFonts w:ascii="Century Gothic" w:hAnsi="Century Gothic"/>
                <w:b/>
                <w:bCs/>
                <w:color w:val="000000"/>
                <w:sz w:val="20"/>
                <w:szCs w:val="18"/>
              </w:rPr>
              <w:t>$2,907,750,541.46</w:t>
            </w:r>
          </w:p>
        </w:tc>
        <w:tc>
          <w:tcPr>
            <w:tcW w:w="2637" w:type="dxa"/>
            <w:vAlign w:val="center"/>
          </w:tcPr>
          <w:p w:rsidR="008C6E0F" w:rsidRPr="008C6E0F" w:rsidRDefault="008C6E0F" w:rsidP="008C6E0F">
            <w:pPr>
              <w:spacing w:line="360" w:lineRule="auto"/>
              <w:jc w:val="center"/>
              <w:rPr>
                <w:rFonts w:ascii="Century Gothic" w:hAnsi="Century Gothic"/>
                <w:b/>
                <w:bCs/>
                <w:color w:val="000000"/>
                <w:sz w:val="20"/>
                <w:szCs w:val="18"/>
              </w:rPr>
            </w:pPr>
            <w:r w:rsidRPr="008C6E0F">
              <w:rPr>
                <w:rFonts w:ascii="Century Gothic" w:hAnsi="Century Gothic"/>
                <w:b/>
                <w:bCs/>
                <w:color w:val="000000"/>
                <w:sz w:val="20"/>
                <w:szCs w:val="18"/>
              </w:rPr>
              <w:t>100.00%</w:t>
            </w:r>
          </w:p>
        </w:tc>
      </w:tr>
    </w:tbl>
    <w:p w:rsidR="00064B45" w:rsidRPr="0050035B" w:rsidRDefault="00064B45" w:rsidP="00064B45">
      <w:pPr>
        <w:spacing w:line="360" w:lineRule="auto"/>
        <w:jc w:val="center"/>
        <w:rPr>
          <w:rFonts w:ascii="Century Gothic" w:hAnsi="Century Gothic"/>
          <w:b/>
          <w:bCs/>
          <w:sz w:val="20"/>
          <w:szCs w:val="20"/>
          <w:lang w:val="es-MX"/>
        </w:rPr>
      </w:pPr>
    </w:p>
    <w:p w:rsidR="00064B45" w:rsidRPr="0050035B" w:rsidRDefault="00064B45" w:rsidP="00064B45">
      <w:pPr>
        <w:spacing w:line="360" w:lineRule="auto"/>
        <w:jc w:val="center"/>
        <w:rPr>
          <w:rFonts w:ascii="Century Gothic" w:hAnsi="Century Gothic"/>
          <w:b/>
          <w:bCs/>
          <w:sz w:val="20"/>
          <w:szCs w:val="20"/>
          <w:lang w:val="es-MX"/>
        </w:rPr>
      </w:pPr>
    </w:p>
    <w:p w:rsidR="00064B45" w:rsidRPr="0050035B" w:rsidRDefault="00064B45" w:rsidP="00064B45">
      <w:pPr>
        <w:spacing w:line="360" w:lineRule="auto"/>
        <w:jc w:val="center"/>
        <w:rPr>
          <w:rFonts w:ascii="Century Gothic" w:hAnsi="Century Gothic"/>
          <w:b/>
          <w:bCs/>
          <w:sz w:val="20"/>
          <w:szCs w:val="20"/>
          <w:lang w:val="es-MX"/>
        </w:rPr>
      </w:pPr>
    </w:p>
    <w:p w:rsidR="00064B45" w:rsidRPr="0050035B" w:rsidRDefault="00064B45" w:rsidP="00064B45">
      <w:pPr>
        <w:spacing w:line="360" w:lineRule="auto"/>
        <w:jc w:val="center"/>
        <w:rPr>
          <w:rFonts w:ascii="Century Gothic" w:hAnsi="Century Gothic"/>
          <w:b/>
          <w:bCs/>
          <w:sz w:val="20"/>
          <w:szCs w:val="20"/>
          <w:lang w:val="es-MX"/>
        </w:rPr>
      </w:pPr>
    </w:p>
    <w:p w:rsidR="00064B45" w:rsidRPr="0050035B" w:rsidRDefault="00064B45" w:rsidP="00064B45">
      <w:pPr>
        <w:spacing w:line="360" w:lineRule="auto"/>
        <w:jc w:val="center"/>
        <w:rPr>
          <w:rFonts w:ascii="Century Gothic" w:hAnsi="Century Gothic"/>
          <w:b/>
          <w:bCs/>
          <w:sz w:val="20"/>
          <w:szCs w:val="20"/>
          <w:lang w:val="es-MX"/>
        </w:rPr>
      </w:pPr>
    </w:p>
    <w:p w:rsidR="00064B45" w:rsidRPr="0050035B" w:rsidRDefault="00064B45" w:rsidP="00064B45">
      <w:pPr>
        <w:spacing w:line="360" w:lineRule="auto"/>
        <w:jc w:val="center"/>
        <w:rPr>
          <w:rFonts w:ascii="Century Gothic" w:hAnsi="Century Gothic"/>
          <w:b/>
          <w:bCs/>
          <w:sz w:val="20"/>
          <w:szCs w:val="20"/>
          <w:lang w:val="es-MX"/>
        </w:rPr>
      </w:pPr>
    </w:p>
    <w:p w:rsidR="00064B45" w:rsidRPr="0050035B" w:rsidRDefault="00064B45" w:rsidP="00064B45">
      <w:pPr>
        <w:spacing w:line="360" w:lineRule="auto"/>
        <w:jc w:val="center"/>
        <w:rPr>
          <w:rFonts w:ascii="Century Gothic" w:hAnsi="Century Gothic"/>
          <w:b/>
          <w:bCs/>
          <w:sz w:val="20"/>
          <w:szCs w:val="20"/>
          <w:lang w:val="es-MX"/>
        </w:rPr>
      </w:pPr>
    </w:p>
    <w:p w:rsidR="00064B45" w:rsidRDefault="00064B45" w:rsidP="00064B45">
      <w:pPr>
        <w:spacing w:line="360" w:lineRule="auto"/>
        <w:jc w:val="center"/>
        <w:rPr>
          <w:rFonts w:ascii="Century Gothic" w:hAnsi="Century Gothic"/>
          <w:b/>
          <w:bCs/>
          <w:sz w:val="20"/>
          <w:szCs w:val="20"/>
          <w:lang w:val="es-MX"/>
        </w:rPr>
      </w:pPr>
    </w:p>
    <w:p w:rsidR="0024110C" w:rsidRPr="0050035B" w:rsidRDefault="0024110C" w:rsidP="00064B45">
      <w:pPr>
        <w:spacing w:line="360" w:lineRule="auto"/>
        <w:jc w:val="center"/>
        <w:rPr>
          <w:rFonts w:ascii="Century Gothic" w:hAnsi="Century Gothic"/>
          <w:b/>
          <w:bCs/>
          <w:sz w:val="20"/>
          <w:szCs w:val="20"/>
          <w:lang w:val="es-MX"/>
        </w:rPr>
      </w:pPr>
    </w:p>
    <w:p w:rsidR="00271A44" w:rsidRPr="0050035B" w:rsidRDefault="00271A44" w:rsidP="00064B45">
      <w:pPr>
        <w:spacing w:line="360" w:lineRule="auto"/>
        <w:jc w:val="center"/>
        <w:rPr>
          <w:rFonts w:ascii="Century Gothic" w:hAnsi="Century Gothic"/>
          <w:sz w:val="20"/>
          <w:szCs w:val="20"/>
          <w:lang w:val="es-MX"/>
        </w:rPr>
      </w:pPr>
      <w:r w:rsidRPr="0050035B">
        <w:rPr>
          <w:rFonts w:ascii="Century Gothic" w:hAnsi="Century Gothic"/>
          <w:b/>
          <w:bCs/>
          <w:sz w:val="20"/>
          <w:szCs w:val="20"/>
          <w:lang w:val="es-MX"/>
        </w:rPr>
        <w:t>Fuente</w:t>
      </w:r>
      <w:r w:rsidRPr="0050035B">
        <w:rPr>
          <w:rFonts w:ascii="Century Gothic" w:hAnsi="Century Gothic"/>
          <w:sz w:val="20"/>
          <w:szCs w:val="20"/>
          <w:lang w:val="es-MX"/>
        </w:rPr>
        <w:t xml:space="preserve">: Elaboración propia, </w:t>
      </w:r>
      <w:r w:rsidR="00846DE2" w:rsidRPr="0050035B">
        <w:rPr>
          <w:rFonts w:ascii="Century Gothic" w:hAnsi="Century Gothic"/>
          <w:sz w:val="20"/>
          <w:szCs w:val="20"/>
          <w:lang w:val="es-MX"/>
        </w:rPr>
        <w:t>202</w:t>
      </w:r>
      <w:r w:rsidR="008C6E0F">
        <w:rPr>
          <w:rFonts w:ascii="Century Gothic" w:hAnsi="Century Gothic"/>
          <w:sz w:val="20"/>
          <w:szCs w:val="20"/>
          <w:lang w:val="es-MX"/>
        </w:rPr>
        <w:t>1</w:t>
      </w:r>
      <w:r w:rsidRPr="0050035B">
        <w:rPr>
          <w:rFonts w:ascii="Century Gothic" w:hAnsi="Century Gothic"/>
          <w:sz w:val="20"/>
          <w:szCs w:val="20"/>
          <w:lang w:val="es-MX"/>
        </w:rPr>
        <w:t>.</w:t>
      </w:r>
    </w:p>
    <w:p w:rsidR="0024110C" w:rsidRDefault="0024110C" w:rsidP="00E92294">
      <w:pPr>
        <w:spacing w:line="360" w:lineRule="auto"/>
        <w:ind w:firstLine="720"/>
        <w:jc w:val="both"/>
        <w:rPr>
          <w:rFonts w:ascii="Century Gothic" w:hAnsi="Century Gothic"/>
          <w:lang w:val="es-MX"/>
        </w:rPr>
      </w:pPr>
    </w:p>
    <w:p w:rsidR="003E3420" w:rsidRPr="0050035B" w:rsidRDefault="00D91261" w:rsidP="00E92294">
      <w:pPr>
        <w:spacing w:line="360" w:lineRule="auto"/>
        <w:ind w:firstLine="720"/>
        <w:jc w:val="both"/>
        <w:rPr>
          <w:rFonts w:ascii="Century Gothic" w:eastAsia="Times New Roman" w:hAnsi="Century Gothic" w:cs="Arial"/>
          <w:b/>
          <w:strike/>
          <w:color w:val="000000"/>
          <w:lang w:val="es-MX" w:eastAsia="es-ES"/>
        </w:rPr>
      </w:pPr>
      <w:r w:rsidRPr="0050035B">
        <w:rPr>
          <w:rFonts w:ascii="Century Gothic" w:hAnsi="Century Gothic"/>
          <w:lang w:val="es-MX"/>
        </w:rPr>
        <w:t xml:space="preserve">Los ingresos propios a su </w:t>
      </w:r>
      <w:r w:rsidR="005A56D3" w:rsidRPr="0050035B">
        <w:rPr>
          <w:rFonts w:ascii="Century Gothic" w:hAnsi="Century Gothic"/>
          <w:lang w:val="es-MX"/>
        </w:rPr>
        <w:t>vez</w:t>
      </w:r>
      <w:r w:rsidRPr="0050035B">
        <w:rPr>
          <w:rFonts w:ascii="Century Gothic" w:hAnsi="Century Gothic"/>
          <w:lang w:val="es-MX"/>
        </w:rPr>
        <w:t xml:space="preserve"> se subdividen en diversos tipos de rubros de ingreso, dentro de los que destacan los </w:t>
      </w:r>
      <w:r w:rsidRPr="0050035B">
        <w:rPr>
          <w:rFonts w:ascii="Century Gothic" w:hAnsi="Century Gothic"/>
          <w:b/>
          <w:lang w:val="es-MX"/>
        </w:rPr>
        <w:t xml:space="preserve">Impuestos </w:t>
      </w:r>
      <w:r w:rsidRPr="0050035B">
        <w:rPr>
          <w:rFonts w:ascii="Century Gothic" w:hAnsi="Century Gothic"/>
          <w:lang w:val="es-MX"/>
        </w:rPr>
        <w:t xml:space="preserve">que representan el </w:t>
      </w:r>
      <w:r w:rsidRPr="0050035B">
        <w:rPr>
          <w:rFonts w:ascii="Century Gothic" w:hAnsi="Century Gothic"/>
          <w:lang w:val="es-MX"/>
        </w:rPr>
        <w:lastRenderedPageBreak/>
        <w:t>ingreso propio</w:t>
      </w:r>
      <w:r w:rsidR="00C12CBD" w:rsidRPr="0050035B">
        <w:rPr>
          <w:rFonts w:ascii="Century Gothic" w:hAnsi="Century Gothic"/>
          <w:lang w:val="es-MX"/>
        </w:rPr>
        <w:t xml:space="preserve"> con mayor solidez al representar</w:t>
      </w:r>
      <w:r w:rsidRPr="0050035B">
        <w:rPr>
          <w:rFonts w:ascii="Century Gothic" w:hAnsi="Century Gothic"/>
          <w:lang w:val="es-MX"/>
        </w:rPr>
        <w:t xml:space="preserve"> el </w:t>
      </w:r>
      <w:r w:rsidR="008C6E0F">
        <w:rPr>
          <w:rFonts w:ascii="Century Gothic" w:hAnsi="Century Gothic" w:cs="Calibri"/>
          <w:b/>
          <w:color w:val="000000"/>
          <w:sz w:val="22"/>
          <w:szCs w:val="22"/>
          <w:lang w:val="es-MX"/>
        </w:rPr>
        <w:t>78.47</w:t>
      </w:r>
      <w:r w:rsidR="0059629F" w:rsidRPr="0050035B">
        <w:rPr>
          <w:rFonts w:ascii="Century Gothic" w:hAnsi="Century Gothic" w:cs="Calibri"/>
          <w:b/>
          <w:color w:val="000000"/>
          <w:sz w:val="22"/>
          <w:szCs w:val="22"/>
          <w:lang w:val="es-MX"/>
        </w:rPr>
        <w:t xml:space="preserve">% </w:t>
      </w:r>
      <w:r w:rsidR="003E3420" w:rsidRPr="0050035B">
        <w:rPr>
          <w:rFonts w:ascii="Century Gothic" w:hAnsi="Century Gothic"/>
          <w:lang w:val="es-MX"/>
        </w:rPr>
        <w:t>del total de ingresos propios, con un monto de</w:t>
      </w:r>
      <w:r w:rsidRPr="0050035B">
        <w:rPr>
          <w:rFonts w:ascii="Century Gothic" w:hAnsi="Century Gothic"/>
          <w:lang w:val="es-MX"/>
        </w:rPr>
        <w:t>:</w:t>
      </w:r>
      <w:r w:rsidR="004A4E4C" w:rsidRPr="0050035B">
        <w:rPr>
          <w:rFonts w:ascii="Century Gothic" w:hAnsi="Century Gothic"/>
          <w:lang w:val="es-MX"/>
        </w:rPr>
        <w:t xml:space="preserve"> </w:t>
      </w:r>
      <w:r w:rsidR="008C6E0F" w:rsidRPr="008C6E0F">
        <w:rPr>
          <w:rFonts w:ascii="Century Gothic" w:hAnsi="Century Gothic"/>
          <w:b/>
          <w:color w:val="000000"/>
          <w:lang w:val="es-MX"/>
        </w:rPr>
        <w:t xml:space="preserve">$2,281,770,937.58 </w:t>
      </w:r>
      <w:r w:rsidR="009D2869" w:rsidRPr="0050035B">
        <w:rPr>
          <w:rFonts w:ascii="Century Gothic" w:eastAsia="Times New Roman" w:hAnsi="Century Gothic" w:cs="Arial"/>
          <w:b/>
          <w:color w:val="000000"/>
          <w:lang w:val="es-MX" w:eastAsia="es-ES"/>
        </w:rPr>
        <w:t>(</w:t>
      </w:r>
      <w:r w:rsidR="008C6E0F">
        <w:rPr>
          <w:rFonts w:ascii="Century Gothic" w:eastAsia="Times New Roman" w:hAnsi="Century Gothic" w:cs="Arial"/>
          <w:b/>
          <w:color w:val="000000"/>
          <w:lang w:val="es-MX" w:eastAsia="es-ES"/>
        </w:rPr>
        <w:t>Dos mil doscientos ochenta y un millones setecientos setenta mil novecientos treinta y siete</w:t>
      </w:r>
      <w:r w:rsidR="0059629F" w:rsidRPr="0050035B">
        <w:rPr>
          <w:rFonts w:ascii="Century Gothic" w:eastAsia="Times New Roman" w:hAnsi="Century Gothic" w:cs="Arial"/>
          <w:b/>
          <w:color w:val="000000"/>
          <w:lang w:val="es-MX" w:eastAsia="es-ES"/>
        </w:rPr>
        <w:t xml:space="preserve"> </w:t>
      </w:r>
      <w:r w:rsidR="00C81BD8" w:rsidRPr="0050035B">
        <w:rPr>
          <w:rFonts w:ascii="Century Gothic" w:eastAsia="Times New Roman" w:hAnsi="Century Gothic" w:cs="Arial"/>
          <w:b/>
          <w:color w:val="000000"/>
          <w:lang w:val="es-MX" w:eastAsia="es-ES"/>
        </w:rPr>
        <w:t xml:space="preserve">pesos </w:t>
      </w:r>
      <w:r w:rsidR="008C6E0F">
        <w:rPr>
          <w:rFonts w:ascii="Century Gothic" w:eastAsia="Times New Roman" w:hAnsi="Century Gothic" w:cs="Arial"/>
          <w:b/>
          <w:color w:val="000000"/>
          <w:lang w:val="es-MX" w:eastAsia="es-ES"/>
        </w:rPr>
        <w:t>58</w:t>
      </w:r>
      <w:r w:rsidR="009D2869" w:rsidRPr="0050035B">
        <w:rPr>
          <w:rFonts w:ascii="Century Gothic" w:eastAsia="Times New Roman" w:hAnsi="Century Gothic" w:cs="Arial"/>
          <w:b/>
          <w:color w:val="000000"/>
          <w:lang w:val="es-MX" w:eastAsia="es-ES"/>
        </w:rPr>
        <w:t>/100 Moneda Nacional)</w:t>
      </w:r>
      <w:r w:rsidR="00C65E5C" w:rsidRPr="0050035B">
        <w:rPr>
          <w:rFonts w:ascii="Century Gothic" w:eastAsia="Times New Roman" w:hAnsi="Century Gothic" w:cs="Arial"/>
          <w:color w:val="000000"/>
          <w:lang w:val="es-MX" w:eastAsia="es-ES"/>
        </w:rPr>
        <w:t>.</w:t>
      </w:r>
      <w:r w:rsidR="00C65E5C" w:rsidRPr="0050035B">
        <w:rPr>
          <w:rFonts w:ascii="Century Gothic" w:eastAsia="Times New Roman" w:hAnsi="Century Gothic" w:cs="Arial"/>
          <w:strike/>
          <w:color w:val="000000"/>
          <w:lang w:val="es-MX" w:eastAsia="es-ES"/>
        </w:rPr>
        <w:t xml:space="preserve"> </w:t>
      </w:r>
    </w:p>
    <w:p w:rsidR="003E3420" w:rsidRPr="0050035B" w:rsidRDefault="003E3420" w:rsidP="00C12CBD">
      <w:pPr>
        <w:spacing w:line="360" w:lineRule="auto"/>
        <w:ind w:firstLine="720"/>
        <w:jc w:val="both"/>
        <w:rPr>
          <w:rFonts w:ascii="Century Gothic" w:eastAsia="Times New Roman" w:hAnsi="Century Gothic" w:cs="Arial"/>
          <w:b/>
          <w:color w:val="000000"/>
          <w:lang w:val="es-MX" w:eastAsia="es-ES"/>
        </w:rPr>
      </w:pPr>
    </w:p>
    <w:p w:rsidR="003E3420" w:rsidRPr="0050035B" w:rsidRDefault="00D91261" w:rsidP="00271A44">
      <w:pPr>
        <w:spacing w:line="360" w:lineRule="auto"/>
        <w:ind w:firstLine="720"/>
        <w:jc w:val="both"/>
        <w:rPr>
          <w:rFonts w:ascii="Century Gothic" w:hAnsi="Century Gothic"/>
          <w:lang w:val="es-MX"/>
        </w:rPr>
      </w:pPr>
      <w:r w:rsidRPr="0050035B">
        <w:rPr>
          <w:rFonts w:ascii="Century Gothic" w:hAnsi="Century Gothic"/>
          <w:lang w:val="es-MX"/>
        </w:rPr>
        <w:t xml:space="preserve">Por otro lado, </w:t>
      </w:r>
      <w:r w:rsidR="00482043" w:rsidRPr="0050035B">
        <w:rPr>
          <w:rFonts w:ascii="Century Gothic" w:hAnsi="Century Gothic"/>
          <w:lang w:val="es-MX"/>
        </w:rPr>
        <w:t xml:space="preserve">por </w:t>
      </w:r>
      <w:r w:rsidRPr="0050035B">
        <w:rPr>
          <w:rFonts w:ascii="Century Gothic" w:hAnsi="Century Gothic"/>
          <w:lang w:val="es-MX"/>
        </w:rPr>
        <w:t xml:space="preserve">el rubro de ingresos por </w:t>
      </w:r>
      <w:r w:rsidR="00754E1F" w:rsidRPr="0050035B">
        <w:rPr>
          <w:rFonts w:ascii="Century Gothic" w:hAnsi="Century Gothic"/>
          <w:b/>
          <w:lang w:val="es-MX"/>
        </w:rPr>
        <w:t>Derechos, Productos y Aprovechamientos</w:t>
      </w:r>
      <w:r w:rsidR="00754E1F" w:rsidRPr="0050035B">
        <w:rPr>
          <w:rFonts w:ascii="Century Gothic" w:hAnsi="Century Gothic"/>
          <w:lang w:val="es-MX"/>
        </w:rPr>
        <w:t xml:space="preserve"> se espera percibir la cantidad de: </w:t>
      </w:r>
      <w:r w:rsidR="008C6E0F" w:rsidRPr="008C6E0F">
        <w:rPr>
          <w:rFonts w:ascii="Century Gothic" w:hAnsi="Century Gothic"/>
          <w:b/>
          <w:lang w:val="es-MX"/>
        </w:rPr>
        <w:t xml:space="preserve">$625,979,603.88 </w:t>
      </w:r>
      <w:r w:rsidR="009D2869" w:rsidRPr="0050035B">
        <w:rPr>
          <w:rFonts w:ascii="Century Gothic" w:hAnsi="Century Gothic"/>
          <w:b/>
          <w:lang w:val="es-MX"/>
        </w:rPr>
        <w:t>(</w:t>
      </w:r>
      <w:r w:rsidR="008C6E0F">
        <w:rPr>
          <w:rFonts w:ascii="Century Gothic" w:hAnsi="Century Gothic"/>
          <w:b/>
          <w:lang w:val="es-MX"/>
        </w:rPr>
        <w:t xml:space="preserve">Seiscientos </w:t>
      </w:r>
      <w:r w:rsidR="007B0C1A">
        <w:rPr>
          <w:rFonts w:ascii="Century Gothic" w:hAnsi="Century Gothic"/>
          <w:b/>
          <w:lang w:val="es-MX"/>
        </w:rPr>
        <w:t>veinticinco</w:t>
      </w:r>
      <w:r w:rsidR="008C6E0F">
        <w:rPr>
          <w:rFonts w:ascii="Century Gothic" w:hAnsi="Century Gothic"/>
          <w:b/>
          <w:lang w:val="es-MX"/>
        </w:rPr>
        <w:t xml:space="preserve"> millones novecientos setenta y nueve mil seiscientos tres</w:t>
      </w:r>
      <w:r w:rsidR="0059629F" w:rsidRPr="0050035B">
        <w:rPr>
          <w:rFonts w:ascii="Century Gothic" w:hAnsi="Century Gothic"/>
          <w:b/>
          <w:lang w:val="es-MX"/>
        </w:rPr>
        <w:t xml:space="preserve"> pesos</w:t>
      </w:r>
      <w:r w:rsidR="009D2869" w:rsidRPr="0050035B">
        <w:rPr>
          <w:rFonts w:ascii="Century Gothic" w:hAnsi="Century Gothic"/>
          <w:b/>
          <w:lang w:val="es-MX"/>
        </w:rPr>
        <w:t xml:space="preserve"> </w:t>
      </w:r>
      <w:r w:rsidR="008C6E0F">
        <w:rPr>
          <w:rFonts w:ascii="Century Gothic" w:hAnsi="Century Gothic"/>
          <w:b/>
          <w:lang w:val="es-MX"/>
        </w:rPr>
        <w:t>88</w:t>
      </w:r>
      <w:r w:rsidR="009D2869" w:rsidRPr="0050035B">
        <w:rPr>
          <w:rFonts w:ascii="Century Gothic" w:hAnsi="Century Gothic"/>
          <w:b/>
          <w:lang w:val="es-MX"/>
        </w:rPr>
        <w:t xml:space="preserve">/100 Moneda Nacional) </w:t>
      </w:r>
      <w:r w:rsidR="00754E1F" w:rsidRPr="0050035B">
        <w:rPr>
          <w:rFonts w:ascii="Century Gothic" w:hAnsi="Century Gothic"/>
          <w:lang w:val="es-MX"/>
        </w:rPr>
        <w:t xml:space="preserve">que representa el </w:t>
      </w:r>
      <w:r w:rsidR="008C6E0F">
        <w:rPr>
          <w:rFonts w:ascii="Century Gothic" w:hAnsi="Century Gothic"/>
          <w:b/>
          <w:lang w:val="es-MX"/>
        </w:rPr>
        <w:t>21.53</w:t>
      </w:r>
      <w:r w:rsidR="007F7779" w:rsidRPr="0050035B">
        <w:rPr>
          <w:rFonts w:ascii="Century Gothic" w:hAnsi="Century Gothic"/>
          <w:b/>
          <w:lang w:val="es-MX"/>
        </w:rPr>
        <w:t>%</w:t>
      </w:r>
      <w:r w:rsidR="00754E1F" w:rsidRPr="0050035B">
        <w:rPr>
          <w:rFonts w:ascii="Century Gothic" w:hAnsi="Century Gothic"/>
          <w:lang w:val="es-MX"/>
        </w:rPr>
        <w:t xml:space="preserve"> restante. </w:t>
      </w:r>
    </w:p>
    <w:p w:rsidR="00F33DAE" w:rsidRPr="0050035B" w:rsidRDefault="00F33DAE" w:rsidP="001A448E">
      <w:pPr>
        <w:spacing w:line="360" w:lineRule="auto"/>
        <w:ind w:firstLine="720"/>
        <w:jc w:val="both"/>
        <w:rPr>
          <w:rFonts w:ascii="Century Gothic" w:hAnsi="Century Gothic"/>
          <w:lang w:val="es-MX"/>
        </w:rPr>
      </w:pPr>
    </w:p>
    <w:p w:rsidR="00F33DAE" w:rsidRPr="0050035B" w:rsidRDefault="00B3138F" w:rsidP="001A448E">
      <w:pPr>
        <w:spacing w:line="360" w:lineRule="auto"/>
        <w:ind w:firstLine="720"/>
        <w:jc w:val="both"/>
        <w:rPr>
          <w:rFonts w:ascii="Century Gothic" w:hAnsi="Century Gothic"/>
          <w:lang w:val="es-MX"/>
        </w:rPr>
      </w:pPr>
      <w:r w:rsidRPr="0050035B">
        <w:rPr>
          <w:rFonts w:ascii="Century Gothic" w:hAnsi="Century Gothic"/>
          <w:lang w:val="es-MX"/>
        </w:rPr>
        <w:t>Para</w:t>
      </w:r>
      <w:r w:rsidR="00711468" w:rsidRPr="0050035B">
        <w:rPr>
          <w:rFonts w:ascii="Century Gothic" w:hAnsi="Century Gothic"/>
          <w:lang w:val="es-MX"/>
        </w:rPr>
        <w:t xml:space="preserve"> contar con una visión clara y</w:t>
      </w:r>
      <w:r w:rsidR="00D91261" w:rsidRPr="0050035B">
        <w:rPr>
          <w:rFonts w:ascii="Century Gothic" w:hAnsi="Century Gothic"/>
          <w:lang w:val="es-MX"/>
        </w:rPr>
        <w:t xml:space="preserve"> sencilla del </w:t>
      </w:r>
      <w:r w:rsidR="0025074A" w:rsidRPr="0050035B">
        <w:rPr>
          <w:rFonts w:ascii="Century Gothic" w:hAnsi="Century Gothic"/>
          <w:lang w:val="es-MX"/>
        </w:rPr>
        <w:t>crecimiento que</w:t>
      </w:r>
      <w:r w:rsidR="00D91261" w:rsidRPr="0050035B">
        <w:rPr>
          <w:rFonts w:ascii="Century Gothic" w:hAnsi="Century Gothic"/>
          <w:lang w:val="es-MX"/>
        </w:rPr>
        <w:t xml:space="preserve"> han presentado los ingresos propios mun</w:t>
      </w:r>
      <w:r w:rsidR="005267A7" w:rsidRPr="0050035B">
        <w:rPr>
          <w:rFonts w:ascii="Century Gothic" w:hAnsi="Century Gothic"/>
          <w:lang w:val="es-MX"/>
        </w:rPr>
        <w:t>icipales durante el periodo 20</w:t>
      </w:r>
      <w:r w:rsidR="00F470D9">
        <w:rPr>
          <w:rFonts w:ascii="Century Gothic" w:hAnsi="Century Gothic"/>
          <w:lang w:val="es-MX"/>
        </w:rPr>
        <w:t>20</w:t>
      </w:r>
      <w:r w:rsidR="005267A7" w:rsidRPr="0050035B">
        <w:rPr>
          <w:rFonts w:ascii="Century Gothic" w:hAnsi="Century Gothic"/>
          <w:lang w:val="es-MX"/>
        </w:rPr>
        <w:t>-202</w:t>
      </w:r>
      <w:r w:rsidR="00F470D9">
        <w:rPr>
          <w:rFonts w:ascii="Century Gothic" w:hAnsi="Century Gothic"/>
          <w:lang w:val="es-MX"/>
        </w:rPr>
        <w:t>2</w:t>
      </w:r>
      <w:r w:rsidR="00D91261" w:rsidRPr="0050035B">
        <w:rPr>
          <w:rFonts w:ascii="Century Gothic" w:hAnsi="Century Gothic"/>
          <w:lang w:val="es-MX"/>
        </w:rPr>
        <w:t xml:space="preserve"> y contar con un mejor margen de comparación a continuación se presenta la T</w:t>
      </w:r>
      <w:r w:rsidR="00FD723A" w:rsidRPr="0050035B">
        <w:rPr>
          <w:rFonts w:ascii="Century Gothic" w:hAnsi="Century Gothic"/>
          <w:lang w:val="es-MX"/>
        </w:rPr>
        <w:t xml:space="preserve">abla </w:t>
      </w:r>
      <w:r w:rsidR="00415F58" w:rsidRPr="0050035B">
        <w:rPr>
          <w:rFonts w:ascii="Century Gothic" w:hAnsi="Century Gothic"/>
          <w:lang w:val="es-MX"/>
        </w:rPr>
        <w:t>4.3</w:t>
      </w:r>
      <w:r w:rsidR="00445167" w:rsidRPr="0050035B">
        <w:rPr>
          <w:rFonts w:ascii="Century Gothic" w:hAnsi="Century Gothic"/>
          <w:lang w:val="es-MX"/>
        </w:rPr>
        <w:t>.</w:t>
      </w:r>
    </w:p>
    <w:p w:rsidR="0057063D" w:rsidRPr="0050035B" w:rsidRDefault="0057063D" w:rsidP="00106A66">
      <w:pPr>
        <w:jc w:val="center"/>
        <w:rPr>
          <w:rFonts w:ascii="Century Gothic" w:hAnsi="Century Gothic"/>
          <w:b/>
          <w:sz w:val="22"/>
          <w:szCs w:val="22"/>
          <w:lang w:val="es-MX"/>
        </w:rPr>
      </w:pPr>
    </w:p>
    <w:p w:rsidR="00B3138F" w:rsidRPr="0050035B" w:rsidRDefault="00F77640" w:rsidP="00106A66">
      <w:pPr>
        <w:jc w:val="center"/>
        <w:rPr>
          <w:rFonts w:ascii="Century Gothic" w:hAnsi="Century Gothic"/>
          <w:sz w:val="22"/>
          <w:szCs w:val="22"/>
          <w:lang w:val="es-MX"/>
        </w:rPr>
      </w:pPr>
      <w:r w:rsidRPr="0050035B">
        <w:rPr>
          <w:rFonts w:ascii="Century Gothic" w:hAnsi="Century Gothic"/>
          <w:b/>
          <w:sz w:val="22"/>
          <w:szCs w:val="22"/>
          <w:lang w:val="es-MX"/>
        </w:rPr>
        <w:t xml:space="preserve">Tabla </w:t>
      </w:r>
      <w:r w:rsidR="00415F58" w:rsidRPr="0050035B">
        <w:rPr>
          <w:rFonts w:ascii="Century Gothic" w:hAnsi="Century Gothic"/>
          <w:b/>
          <w:sz w:val="22"/>
          <w:szCs w:val="22"/>
          <w:lang w:val="es-MX"/>
        </w:rPr>
        <w:t>4.3</w:t>
      </w:r>
      <w:r w:rsidR="005267A7" w:rsidRPr="0050035B">
        <w:rPr>
          <w:rFonts w:ascii="Century Gothic" w:hAnsi="Century Gothic"/>
          <w:b/>
          <w:sz w:val="22"/>
          <w:szCs w:val="22"/>
          <w:lang w:val="es-MX"/>
        </w:rPr>
        <w:t>.</w:t>
      </w:r>
      <w:r w:rsidRPr="0050035B">
        <w:rPr>
          <w:rFonts w:ascii="Century Gothic" w:hAnsi="Century Gothic"/>
          <w:b/>
          <w:sz w:val="22"/>
          <w:szCs w:val="22"/>
          <w:lang w:val="es-MX"/>
        </w:rPr>
        <w:t xml:space="preserve"> </w:t>
      </w:r>
      <w:r w:rsidR="00580C0B" w:rsidRPr="0050035B">
        <w:rPr>
          <w:rFonts w:ascii="Century Gothic" w:hAnsi="Century Gothic"/>
          <w:sz w:val="22"/>
          <w:szCs w:val="22"/>
          <w:lang w:val="es-MX"/>
        </w:rPr>
        <w:t>Crecimiento en las proyecciones de Ingresos P</w:t>
      </w:r>
      <w:r w:rsidRPr="0050035B">
        <w:rPr>
          <w:rFonts w:ascii="Century Gothic" w:hAnsi="Century Gothic"/>
          <w:sz w:val="22"/>
          <w:szCs w:val="22"/>
          <w:lang w:val="es-MX"/>
        </w:rPr>
        <w:t>ropios</w:t>
      </w:r>
      <w:r w:rsidR="00711468" w:rsidRPr="0050035B">
        <w:rPr>
          <w:rFonts w:ascii="Century Gothic" w:hAnsi="Century Gothic"/>
          <w:sz w:val="22"/>
          <w:szCs w:val="22"/>
          <w:lang w:val="es-MX"/>
        </w:rPr>
        <w:t xml:space="preserve"> (20</w:t>
      </w:r>
      <w:r w:rsidR="008C6E0F">
        <w:rPr>
          <w:rFonts w:ascii="Century Gothic" w:hAnsi="Century Gothic"/>
          <w:sz w:val="22"/>
          <w:szCs w:val="22"/>
          <w:lang w:val="es-MX"/>
        </w:rPr>
        <w:t>20</w:t>
      </w:r>
      <w:r w:rsidR="008F6AF2" w:rsidRPr="0050035B">
        <w:rPr>
          <w:rFonts w:ascii="Century Gothic" w:hAnsi="Century Gothic"/>
          <w:sz w:val="22"/>
          <w:szCs w:val="22"/>
          <w:lang w:val="es-MX"/>
        </w:rPr>
        <w:t>-202</w:t>
      </w:r>
      <w:r w:rsidR="008C6E0F">
        <w:rPr>
          <w:rFonts w:ascii="Century Gothic" w:hAnsi="Century Gothic"/>
          <w:sz w:val="22"/>
          <w:szCs w:val="22"/>
          <w:lang w:val="es-MX"/>
        </w:rPr>
        <w:t>2</w:t>
      </w:r>
      <w:r w:rsidR="002730D3" w:rsidRPr="0050035B">
        <w:rPr>
          <w:rFonts w:ascii="Century Gothic" w:hAnsi="Century Gothic"/>
          <w:sz w:val="22"/>
          <w:szCs w:val="22"/>
          <w:lang w:val="es-MX"/>
        </w:rPr>
        <w:t>)</w:t>
      </w:r>
      <w:r w:rsidR="005267A7" w:rsidRPr="0050035B">
        <w:rPr>
          <w:rFonts w:ascii="Century Gothic" w:hAnsi="Century Gothic"/>
          <w:sz w:val="22"/>
          <w:szCs w:val="22"/>
          <w:lang w:val="es-MX"/>
        </w:rPr>
        <w:t>.</w:t>
      </w:r>
    </w:p>
    <w:tbl>
      <w:tblPr>
        <w:tblStyle w:val="Tablaconcuadrcula"/>
        <w:tblpPr w:leftFromText="141" w:rightFromText="141" w:vertAnchor="text" w:horzAnchor="margin" w:tblpY="119"/>
        <w:tblW w:w="9351" w:type="dxa"/>
        <w:tblLayout w:type="fixed"/>
        <w:tblLook w:val="04A0" w:firstRow="1" w:lastRow="0" w:firstColumn="1" w:lastColumn="0" w:noHBand="0" w:noVBand="1"/>
      </w:tblPr>
      <w:tblGrid>
        <w:gridCol w:w="1963"/>
        <w:gridCol w:w="1860"/>
        <w:gridCol w:w="1842"/>
        <w:gridCol w:w="1843"/>
        <w:gridCol w:w="1843"/>
      </w:tblGrid>
      <w:tr w:rsidR="00846DE2" w:rsidRPr="0050035B" w:rsidTr="00E44364">
        <w:trPr>
          <w:trHeight w:val="72"/>
        </w:trPr>
        <w:tc>
          <w:tcPr>
            <w:tcW w:w="1963" w:type="dxa"/>
            <w:shd w:val="clear" w:color="auto" w:fill="FABF8F" w:themeFill="accent6" w:themeFillTint="99"/>
            <w:vAlign w:val="center"/>
          </w:tcPr>
          <w:p w:rsidR="00846DE2" w:rsidRPr="00E44364" w:rsidRDefault="00846DE2" w:rsidP="00846DE2">
            <w:pPr>
              <w:jc w:val="center"/>
              <w:rPr>
                <w:rFonts w:ascii="Century Gothic" w:hAnsi="Century Gothic"/>
                <w:b/>
                <w:color w:val="000000" w:themeColor="text1"/>
                <w:sz w:val="18"/>
                <w:szCs w:val="18"/>
              </w:rPr>
            </w:pPr>
            <w:r w:rsidRPr="00E44364">
              <w:rPr>
                <w:rFonts w:ascii="Century Gothic" w:hAnsi="Century Gothic"/>
                <w:b/>
                <w:color w:val="000000" w:themeColor="text1"/>
                <w:sz w:val="18"/>
                <w:szCs w:val="18"/>
              </w:rPr>
              <w:t>Tipo de Ingreso</w:t>
            </w:r>
          </w:p>
        </w:tc>
        <w:tc>
          <w:tcPr>
            <w:tcW w:w="1860" w:type="dxa"/>
            <w:shd w:val="clear" w:color="auto" w:fill="FABF8F" w:themeFill="accent6" w:themeFillTint="99"/>
            <w:vAlign w:val="center"/>
          </w:tcPr>
          <w:p w:rsidR="00846DE2" w:rsidRPr="00E44364" w:rsidRDefault="00846DE2" w:rsidP="008C6E0F">
            <w:pPr>
              <w:jc w:val="center"/>
              <w:rPr>
                <w:rFonts w:ascii="Century Gothic" w:hAnsi="Century Gothic"/>
                <w:b/>
                <w:color w:val="000000" w:themeColor="text1"/>
                <w:sz w:val="16"/>
                <w:szCs w:val="16"/>
              </w:rPr>
            </w:pPr>
            <w:r w:rsidRPr="00E44364">
              <w:rPr>
                <w:rFonts w:ascii="Century Gothic" w:hAnsi="Century Gothic"/>
                <w:b/>
                <w:color w:val="000000" w:themeColor="text1"/>
                <w:sz w:val="16"/>
                <w:szCs w:val="16"/>
              </w:rPr>
              <w:t>Presupuesto aprobado 20</w:t>
            </w:r>
            <w:r w:rsidR="008C6E0F" w:rsidRPr="00E44364">
              <w:rPr>
                <w:rFonts w:ascii="Century Gothic" w:hAnsi="Century Gothic"/>
                <w:b/>
                <w:color w:val="000000" w:themeColor="text1"/>
                <w:sz w:val="16"/>
                <w:szCs w:val="16"/>
              </w:rPr>
              <w:t>20</w:t>
            </w:r>
          </w:p>
        </w:tc>
        <w:tc>
          <w:tcPr>
            <w:tcW w:w="1842" w:type="dxa"/>
            <w:shd w:val="clear" w:color="auto" w:fill="FABF8F" w:themeFill="accent6" w:themeFillTint="99"/>
            <w:noWrap/>
            <w:vAlign w:val="center"/>
          </w:tcPr>
          <w:p w:rsidR="00846DE2" w:rsidRPr="00E44364" w:rsidRDefault="00846DE2" w:rsidP="008C6E0F">
            <w:pPr>
              <w:jc w:val="center"/>
              <w:rPr>
                <w:rFonts w:ascii="Century Gothic" w:eastAsia="Times New Roman" w:hAnsi="Century Gothic" w:cs="Arial"/>
                <w:b/>
                <w:color w:val="000000" w:themeColor="text1"/>
                <w:sz w:val="16"/>
                <w:szCs w:val="16"/>
                <w:lang w:eastAsia="es-MX"/>
              </w:rPr>
            </w:pPr>
            <w:r w:rsidRPr="00E44364">
              <w:rPr>
                <w:rFonts w:ascii="Century Gothic" w:hAnsi="Century Gothic"/>
                <w:b/>
                <w:color w:val="000000" w:themeColor="text1"/>
                <w:sz w:val="18"/>
                <w:szCs w:val="16"/>
              </w:rPr>
              <w:t>Presupuesto aprobado 202</w:t>
            </w:r>
            <w:r w:rsidR="008C6E0F" w:rsidRPr="00E44364">
              <w:rPr>
                <w:rFonts w:ascii="Century Gothic" w:hAnsi="Century Gothic"/>
                <w:b/>
                <w:color w:val="000000" w:themeColor="text1"/>
                <w:sz w:val="18"/>
                <w:szCs w:val="16"/>
              </w:rPr>
              <w:t>1</w:t>
            </w:r>
          </w:p>
        </w:tc>
        <w:tc>
          <w:tcPr>
            <w:tcW w:w="1843" w:type="dxa"/>
            <w:shd w:val="clear" w:color="auto" w:fill="FABF8F" w:themeFill="accent6" w:themeFillTint="99"/>
            <w:vAlign w:val="center"/>
          </w:tcPr>
          <w:p w:rsidR="00846DE2" w:rsidRPr="00E44364" w:rsidRDefault="00846DE2" w:rsidP="008C6E0F">
            <w:pPr>
              <w:jc w:val="center"/>
              <w:rPr>
                <w:rFonts w:ascii="Century Gothic" w:eastAsia="Times New Roman" w:hAnsi="Century Gothic" w:cs="Arial"/>
                <w:b/>
                <w:color w:val="000000" w:themeColor="text1"/>
                <w:sz w:val="16"/>
                <w:szCs w:val="16"/>
                <w:lang w:eastAsia="es-MX"/>
              </w:rPr>
            </w:pPr>
            <w:r w:rsidRPr="00E44364">
              <w:rPr>
                <w:rFonts w:ascii="Century Gothic" w:eastAsia="Times New Roman" w:hAnsi="Century Gothic" w:cs="Arial"/>
                <w:b/>
                <w:color w:val="000000" w:themeColor="text1"/>
                <w:sz w:val="18"/>
                <w:szCs w:val="16"/>
                <w:lang w:eastAsia="es-MX"/>
              </w:rPr>
              <w:t>Proyecto de Presupuesto 202</w:t>
            </w:r>
            <w:r w:rsidR="008C6E0F" w:rsidRPr="00E44364">
              <w:rPr>
                <w:rFonts w:ascii="Century Gothic" w:eastAsia="Times New Roman" w:hAnsi="Century Gothic" w:cs="Arial"/>
                <w:b/>
                <w:color w:val="000000" w:themeColor="text1"/>
                <w:sz w:val="18"/>
                <w:szCs w:val="16"/>
                <w:lang w:eastAsia="es-MX"/>
              </w:rPr>
              <w:t>2</w:t>
            </w:r>
          </w:p>
        </w:tc>
        <w:tc>
          <w:tcPr>
            <w:tcW w:w="1843" w:type="dxa"/>
            <w:shd w:val="clear" w:color="auto" w:fill="FABF8F" w:themeFill="accent6" w:themeFillTint="99"/>
            <w:noWrap/>
            <w:vAlign w:val="center"/>
          </w:tcPr>
          <w:p w:rsidR="00846DE2" w:rsidRPr="00E44364" w:rsidRDefault="00846DE2" w:rsidP="008C6E0F">
            <w:pPr>
              <w:jc w:val="center"/>
              <w:rPr>
                <w:rFonts w:ascii="Century Gothic" w:eastAsia="Times New Roman" w:hAnsi="Century Gothic" w:cs="Arial"/>
                <w:b/>
                <w:color w:val="000000" w:themeColor="text1"/>
                <w:sz w:val="16"/>
                <w:szCs w:val="16"/>
                <w:lang w:eastAsia="es-MX"/>
              </w:rPr>
            </w:pPr>
            <w:r w:rsidRPr="00E44364">
              <w:rPr>
                <w:rFonts w:ascii="Century Gothic" w:eastAsia="Times New Roman" w:hAnsi="Century Gothic" w:cs="Arial"/>
                <w:b/>
                <w:color w:val="000000" w:themeColor="text1"/>
                <w:sz w:val="16"/>
                <w:szCs w:val="16"/>
                <w:lang w:eastAsia="es-MX"/>
              </w:rPr>
              <w:t>Tasa de Crecimiento (TdC) 202</w:t>
            </w:r>
            <w:r w:rsidR="008C6E0F" w:rsidRPr="00E44364">
              <w:rPr>
                <w:rFonts w:ascii="Century Gothic" w:eastAsia="Times New Roman" w:hAnsi="Century Gothic" w:cs="Arial"/>
                <w:b/>
                <w:color w:val="000000" w:themeColor="text1"/>
                <w:sz w:val="16"/>
                <w:szCs w:val="16"/>
                <w:lang w:eastAsia="es-MX"/>
              </w:rPr>
              <w:t>2</w:t>
            </w:r>
            <w:r w:rsidRPr="00E44364">
              <w:rPr>
                <w:rFonts w:ascii="Century Gothic" w:eastAsia="Times New Roman" w:hAnsi="Century Gothic" w:cs="Arial"/>
                <w:b/>
                <w:color w:val="000000" w:themeColor="text1"/>
                <w:sz w:val="16"/>
                <w:szCs w:val="16"/>
                <w:lang w:eastAsia="es-MX"/>
              </w:rPr>
              <w:t xml:space="preserve"> respecto 202</w:t>
            </w:r>
            <w:r w:rsidR="008C6E0F" w:rsidRPr="00E44364">
              <w:rPr>
                <w:rFonts w:ascii="Century Gothic" w:eastAsia="Times New Roman" w:hAnsi="Century Gothic" w:cs="Arial"/>
                <w:b/>
                <w:color w:val="000000" w:themeColor="text1"/>
                <w:sz w:val="16"/>
                <w:szCs w:val="16"/>
                <w:lang w:eastAsia="es-MX"/>
              </w:rPr>
              <w:t>1</w:t>
            </w:r>
          </w:p>
        </w:tc>
      </w:tr>
      <w:tr w:rsidR="008C6E0F" w:rsidRPr="0050035B" w:rsidTr="00391B5A">
        <w:trPr>
          <w:trHeight w:val="411"/>
        </w:trPr>
        <w:tc>
          <w:tcPr>
            <w:tcW w:w="1963" w:type="dxa"/>
            <w:shd w:val="clear" w:color="auto" w:fill="7F7F7F" w:themeFill="text1" w:themeFillTint="80"/>
            <w:hideMark/>
          </w:tcPr>
          <w:p w:rsidR="008C6E0F" w:rsidRPr="0050035B" w:rsidRDefault="008C6E0F" w:rsidP="008C6E0F">
            <w:pPr>
              <w:jc w:val="center"/>
              <w:rPr>
                <w:rFonts w:ascii="Century Gothic" w:hAnsi="Century Gothic"/>
                <w:b/>
                <w:color w:val="FFFFFF" w:themeColor="background1"/>
                <w:sz w:val="18"/>
                <w:szCs w:val="18"/>
              </w:rPr>
            </w:pPr>
            <w:r w:rsidRPr="0050035B">
              <w:rPr>
                <w:rFonts w:ascii="Century Gothic" w:hAnsi="Century Gothic"/>
                <w:b/>
                <w:color w:val="FFFFFF" w:themeColor="background1"/>
                <w:sz w:val="18"/>
                <w:szCs w:val="18"/>
              </w:rPr>
              <w:t>Impuestos</w:t>
            </w:r>
          </w:p>
        </w:tc>
        <w:tc>
          <w:tcPr>
            <w:tcW w:w="1860" w:type="dxa"/>
            <w:vAlign w:val="center"/>
          </w:tcPr>
          <w:p w:rsidR="008C6E0F" w:rsidRPr="0050035B" w:rsidRDefault="008C6E0F" w:rsidP="008C6E0F">
            <w:pPr>
              <w:jc w:val="center"/>
              <w:rPr>
                <w:rFonts w:ascii="Century Gothic" w:hAnsi="Century Gothic"/>
                <w:strike/>
                <w:sz w:val="18"/>
                <w:szCs w:val="18"/>
                <w:highlight w:val="yellow"/>
              </w:rPr>
            </w:pPr>
            <w:r>
              <w:rPr>
                <w:rFonts w:ascii="Century Gothic" w:hAnsi="Century Gothic" w:cs="Calibri"/>
                <w:color w:val="000000"/>
                <w:sz w:val="18"/>
                <w:szCs w:val="18"/>
              </w:rPr>
              <w:t>$2,003,080,233.59</w:t>
            </w:r>
          </w:p>
        </w:tc>
        <w:tc>
          <w:tcPr>
            <w:tcW w:w="1842" w:type="dxa"/>
            <w:noWrap/>
            <w:vAlign w:val="center"/>
          </w:tcPr>
          <w:p w:rsidR="008C6E0F" w:rsidRPr="0050035B" w:rsidRDefault="008C6E0F" w:rsidP="008C6E0F">
            <w:pPr>
              <w:jc w:val="center"/>
              <w:rPr>
                <w:rFonts w:ascii="Century Gothic" w:eastAsia="Times New Roman" w:hAnsi="Century Gothic" w:cs="Arial"/>
                <w:strike/>
                <w:color w:val="000000"/>
                <w:sz w:val="18"/>
                <w:szCs w:val="18"/>
                <w:highlight w:val="yellow"/>
                <w:lang w:eastAsia="es-MX"/>
              </w:rPr>
            </w:pPr>
            <w:r>
              <w:rPr>
                <w:rFonts w:ascii="Century Gothic" w:hAnsi="Century Gothic" w:cs="Calibri"/>
                <w:color w:val="000000"/>
                <w:sz w:val="18"/>
                <w:szCs w:val="18"/>
              </w:rPr>
              <w:t>$1,982,069,667.01</w:t>
            </w:r>
          </w:p>
        </w:tc>
        <w:tc>
          <w:tcPr>
            <w:tcW w:w="1843" w:type="dxa"/>
            <w:vAlign w:val="center"/>
          </w:tcPr>
          <w:p w:rsidR="008C6E0F" w:rsidRPr="0050035B" w:rsidRDefault="008C6E0F" w:rsidP="008C6E0F">
            <w:pPr>
              <w:jc w:val="center"/>
              <w:rPr>
                <w:rFonts w:ascii="Century Gothic" w:hAnsi="Century Gothic" w:cs="Arial"/>
                <w:strike/>
                <w:sz w:val="18"/>
                <w:szCs w:val="18"/>
                <w:highlight w:val="yellow"/>
              </w:rPr>
            </w:pPr>
            <w:r>
              <w:rPr>
                <w:rFonts w:ascii="Century Gothic" w:hAnsi="Century Gothic" w:cs="Calibri"/>
                <w:color w:val="000000"/>
                <w:sz w:val="18"/>
                <w:szCs w:val="18"/>
              </w:rPr>
              <w:t xml:space="preserve">   2,281,770,937.58 </w:t>
            </w:r>
          </w:p>
        </w:tc>
        <w:tc>
          <w:tcPr>
            <w:tcW w:w="1843" w:type="dxa"/>
            <w:noWrap/>
            <w:vAlign w:val="center"/>
          </w:tcPr>
          <w:p w:rsidR="008C6E0F" w:rsidRPr="0050035B" w:rsidRDefault="008C6E0F" w:rsidP="008C6E0F">
            <w:pPr>
              <w:jc w:val="center"/>
              <w:rPr>
                <w:rFonts w:ascii="Century Gothic" w:hAnsi="Century Gothic" w:cs="Arial"/>
                <w:strike/>
                <w:sz w:val="18"/>
                <w:szCs w:val="18"/>
                <w:highlight w:val="yellow"/>
              </w:rPr>
            </w:pPr>
            <w:r>
              <w:rPr>
                <w:rFonts w:ascii="Century Gothic" w:hAnsi="Century Gothic" w:cs="Calibri"/>
                <w:color w:val="000000"/>
                <w:sz w:val="18"/>
                <w:szCs w:val="18"/>
              </w:rPr>
              <w:t>15.12%</w:t>
            </w:r>
          </w:p>
        </w:tc>
      </w:tr>
      <w:tr w:rsidR="008C6E0F" w:rsidRPr="0050035B" w:rsidTr="00391B5A">
        <w:trPr>
          <w:trHeight w:val="396"/>
        </w:trPr>
        <w:tc>
          <w:tcPr>
            <w:tcW w:w="1963" w:type="dxa"/>
            <w:shd w:val="clear" w:color="auto" w:fill="7F7F7F" w:themeFill="text1" w:themeFillTint="80"/>
            <w:hideMark/>
          </w:tcPr>
          <w:p w:rsidR="008C6E0F" w:rsidRPr="0050035B" w:rsidRDefault="008C6E0F" w:rsidP="008C6E0F">
            <w:pPr>
              <w:jc w:val="center"/>
              <w:rPr>
                <w:rFonts w:ascii="Century Gothic" w:hAnsi="Century Gothic"/>
                <w:b/>
                <w:color w:val="FFFFFF" w:themeColor="background1"/>
                <w:sz w:val="18"/>
                <w:szCs w:val="18"/>
              </w:rPr>
            </w:pPr>
            <w:r w:rsidRPr="0050035B">
              <w:rPr>
                <w:rFonts w:ascii="Century Gothic" w:hAnsi="Century Gothic"/>
                <w:b/>
                <w:color w:val="FFFFFF" w:themeColor="background1"/>
                <w:sz w:val="18"/>
                <w:szCs w:val="18"/>
              </w:rPr>
              <w:t>Derechos</w:t>
            </w:r>
          </w:p>
        </w:tc>
        <w:tc>
          <w:tcPr>
            <w:tcW w:w="1860" w:type="dxa"/>
            <w:vAlign w:val="center"/>
          </w:tcPr>
          <w:p w:rsidR="008C6E0F" w:rsidRPr="0050035B" w:rsidRDefault="008C6E0F" w:rsidP="008C6E0F">
            <w:pPr>
              <w:jc w:val="center"/>
              <w:rPr>
                <w:rFonts w:ascii="Century Gothic" w:hAnsi="Century Gothic"/>
                <w:strike/>
                <w:sz w:val="18"/>
                <w:szCs w:val="18"/>
                <w:highlight w:val="yellow"/>
              </w:rPr>
            </w:pPr>
            <w:r>
              <w:rPr>
                <w:rFonts w:ascii="Century Gothic" w:hAnsi="Century Gothic" w:cs="Calibri"/>
                <w:color w:val="000000"/>
                <w:sz w:val="18"/>
                <w:szCs w:val="18"/>
              </w:rPr>
              <w:t>$322,206,102.76</w:t>
            </w:r>
          </w:p>
        </w:tc>
        <w:tc>
          <w:tcPr>
            <w:tcW w:w="1842" w:type="dxa"/>
            <w:noWrap/>
            <w:vAlign w:val="center"/>
          </w:tcPr>
          <w:p w:rsidR="008C6E0F" w:rsidRPr="0050035B" w:rsidRDefault="008C6E0F" w:rsidP="008C6E0F">
            <w:pPr>
              <w:jc w:val="center"/>
              <w:rPr>
                <w:rFonts w:ascii="Century Gothic" w:eastAsia="Times New Roman" w:hAnsi="Century Gothic" w:cs="Arial"/>
                <w:strike/>
                <w:color w:val="000000"/>
                <w:sz w:val="18"/>
                <w:szCs w:val="18"/>
                <w:highlight w:val="yellow"/>
                <w:lang w:eastAsia="es-MX"/>
              </w:rPr>
            </w:pPr>
            <w:r>
              <w:rPr>
                <w:rFonts w:ascii="Century Gothic" w:hAnsi="Century Gothic" w:cs="Calibri"/>
                <w:color w:val="000000"/>
                <w:sz w:val="18"/>
                <w:szCs w:val="18"/>
              </w:rPr>
              <w:t>$278,093,458.31</w:t>
            </w:r>
          </w:p>
        </w:tc>
        <w:tc>
          <w:tcPr>
            <w:tcW w:w="1843" w:type="dxa"/>
            <w:vAlign w:val="center"/>
          </w:tcPr>
          <w:p w:rsidR="008C6E0F" w:rsidRPr="0050035B" w:rsidRDefault="008C6E0F" w:rsidP="008C6E0F">
            <w:pPr>
              <w:jc w:val="center"/>
              <w:rPr>
                <w:rFonts w:ascii="Century Gothic" w:hAnsi="Century Gothic" w:cs="Arial"/>
                <w:strike/>
                <w:sz w:val="18"/>
                <w:szCs w:val="18"/>
                <w:highlight w:val="yellow"/>
              </w:rPr>
            </w:pPr>
            <w:r>
              <w:rPr>
                <w:rFonts w:ascii="Century Gothic" w:hAnsi="Century Gothic" w:cs="Calibri"/>
                <w:color w:val="000000"/>
                <w:sz w:val="18"/>
                <w:szCs w:val="18"/>
              </w:rPr>
              <w:t xml:space="preserve">      268,214,704.19 </w:t>
            </w:r>
          </w:p>
        </w:tc>
        <w:tc>
          <w:tcPr>
            <w:tcW w:w="1843" w:type="dxa"/>
            <w:noWrap/>
            <w:vAlign w:val="center"/>
          </w:tcPr>
          <w:p w:rsidR="008C6E0F" w:rsidRPr="0050035B" w:rsidRDefault="008C6E0F" w:rsidP="008C6E0F">
            <w:pPr>
              <w:jc w:val="center"/>
              <w:rPr>
                <w:rFonts w:ascii="Century Gothic" w:hAnsi="Century Gothic" w:cs="Arial"/>
                <w:strike/>
                <w:sz w:val="18"/>
                <w:szCs w:val="18"/>
                <w:highlight w:val="yellow"/>
              </w:rPr>
            </w:pPr>
            <w:r>
              <w:rPr>
                <w:rFonts w:ascii="Century Gothic" w:hAnsi="Century Gothic" w:cs="Calibri"/>
                <w:color w:val="000000"/>
                <w:sz w:val="18"/>
                <w:szCs w:val="18"/>
              </w:rPr>
              <w:t>-3.55%</w:t>
            </w:r>
          </w:p>
        </w:tc>
      </w:tr>
      <w:tr w:rsidR="008C6E0F" w:rsidRPr="0050035B" w:rsidTr="00391B5A">
        <w:trPr>
          <w:trHeight w:val="315"/>
        </w:trPr>
        <w:tc>
          <w:tcPr>
            <w:tcW w:w="1963" w:type="dxa"/>
            <w:shd w:val="clear" w:color="auto" w:fill="7F7F7F" w:themeFill="text1" w:themeFillTint="80"/>
            <w:hideMark/>
          </w:tcPr>
          <w:p w:rsidR="008C6E0F" w:rsidRPr="0050035B" w:rsidRDefault="008C6E0F" w:rsidP="008C6E0F">
            <w:pPr>
              <w:jc w:val="center"/>
              <w:rPr>
                <w:rFonts w:ascii="Century Gothic" w:hAnsi="Century Gothic"/>
                <w:b/>
                <w:color w:val="FFFFFF" w:themeColor="background1"/>
                <w:sz w:val="18"/>
                <w:szCs w:val="18"/>
              </w:rPr>
            </w:pPr>
            <w:r w:rsidRPr="0050035B">
              <w:rPr>
                <w:rFonts w:ascii="Century Gothic" w:hAnsi="Century Gothic"/>
                <w:b/>
                <w:color w:val="FFFFFF" w:themeColor="background1"/>
                <w:sz w:val="18"/>
                <w:szCs w:val="18"/>
              </w:rPr>
              <w:t xml:space="preserve">Productos </w:t>
            </w:r>
          </w:p>
        </w:tc>
        <w:tc>
          <w:tcPr>
            <w:tcW w:w="1860" w:type="dxa"/>
            <w:vAlign w:val="center"/>
          </w:tcPr>
          <w:p w:rsidR="008C6E0F" w:rsidRPr="0050035B" w:rsidRDefault="008C6E0F" w:rsidP="008C6E0F">
            <w:pPr>
              <w:jc w:val="center"/>
              <w:rPr>
                <w:rFonts w:ascii="Century Gothic" w:hAnsi="Century Gothic"/>
                <w:strike/>
                <w:sz w:val="18"/>
                <w:szCs w:val="18"/>
                <w:highlight w:val="yellow"/>
              </w:rPr>
            </w:pPr>
            <w:r>
              <w:rPr>
                <w:rFonts w:ascii="Century Gothic" w:hAnsi="Century Gothic" w:cs="Calibri"/>
                <w:color w:val="000000"/>
                <w:sz w:val="18"/>
                <w:szCs w:val="18"/>
              </w:rPr>
              <w:t>$231,197,813.94</w:t>
            </w:r>
          </w:p>
        </w:tc>
        <w:tc>
          <w:tcPr>
            <w:tcW w:w="1842" w:type="dxa"/>
            <w:noWrap/>
            <w:vAlign w:val="center"/>
          </w:tcPr>
          <w:p w:rsidR="008C6E0F" w:rsidRPr="0050035B" w:rsidRDefault="008C6E0F" w:rsidP="008C6E0F">
            <w:pPr>
              <w:jc w:val="center"/>
              <w:rPr>
                <w:rFonts w:ascii="Century Gothic" w:eastAsia="Times New Roman" w:hAnsi="Century Gothic" w:cs="Arial"/>
                <w:strike/>
                <w:color w:val="000000"/>
                <w:sz w:val="18"/>
                <w:szCs w:val="18"/>
                <w:highlight w:val="yellow"/>
                <w:lang w:eastAsia="es-MX"/>
              </w:rPr>
            </w:pPr>
            <w:r>
              <w:rPr>
                <w:rFonts w:ascii="Century Gothic" w:hAnsi="Century Gothic" w:cs="Calibri"/>
                <w:color w:val="000000"/>
                <w:sz w:val="18"/>
                <w:szCs w:val="18"/>
              </w:rPr>
              <w:t>$141,702,946.36</w:t>
            </w:r>
          </w:p>
        </w:tc>
        <w:tc>
          <w:tcPr>
            <w:tcW w:w="1843" w:type="dxa"/>
            <w:vAlign w:val="center"/>
          </w:tcPr>
          <w:p w:rsidR="008C6E0F" w:rsidRPr="0050035B" w:rsidRDefault="008C6E0F" w:rsidP="008C6E0F">
            <w:pPr>
              <w:jc w:val="center"/>
              <w:rPr>
                <w:rFonts w:ascii="Century Gothic" w:hAnsi="Century Gothic" w:cs="Arial"/>
                <w:strike/>
                <w:sz w:val="18"/>
                <w:szCs w:val="18"/>
                <w:highlight w:val="yellow"/>
              </w:rPr>
            </w:pPr>
            <w:r>
              <w:rPr>
                <w:rFonts w:ascii="Century Gothic" w:hAnsi="Century Gothic" w:cs="Calibri"/>
                <w:color w:val="000000"/>
                <w:sz w:val="18"/>
                <w:szCs w:val="18"/>
              </w:rPr>
              <w:t xml:space="preserve">      129,665,602.07 </w:t>
            </w:r>
          </w:p>
        </w:tc>
        <w:tc>
          <w:tcPr>
            <w:tcW w:w="1843" w:type="dxa"/>
            <w:noWrap/>
            <w:vAlign w:val="center"/>
          </w:tcPr>
          <w:p w:rsidR="008C6E0F" w:rsidRPr="0050035B" w:rsidRDefault="008C6E0F" w:rsidP="008C6E0F">
            <w:pPr>
              <w:jc w:val="center"/>
              <w:rPr>
                <w:rFonts w:ascii="Century Gothic" w:hAnsi="Century Gothic" w:cs="Arial"/>
                <w:strike/>
                <w:sz w:val="18"/>
                <w:szCs w:val="18"/>
                <w:highlight w:val="yellow"/>
              </w:rPr>
            </w:pPr>
            <w:r>
              <w:rPr>
                <w:rFonts w:ascii="Century Gothic" w:hAnsi="Century Gothic" w:cs="Calibri"/>
                <w:color w:val="000000"/>
                <w:sz w:val="18"/>
                <w:szCs w:val="18"/>
              </w:rPr>
              <w:t>-8.49%</w:t>
            </w:r>
          </w:p>
        </w:tc>
      </w:tr>
      <w:tr w:rsidR="008C6E0F" w:rsidRPr="0050035B" w:rsidTr="00391B5A">
        <w:trPr>
          <w:trHeight w:val="315"/>
        </w:trPr>
        <w:tc>
          <w:tcPr>
            <w:tcW w:w="1963" w:type="dxa"/>
            <w:shd w:val="clear" w:color="auto" w:fill="7F7F7F" w:themeFill="text1" w:themeFillTint="80"/>
            <w:hideMark/>
          </w:tcPr>
          <w:p w:rsidR="008C6E0F" w:rsidRPr="0050035B" w:rsidRDefault="008C6E0F" w:rsidP="008C6E0F">
            <w:pPr>
              <w:jc w:val="center"/>
              <w:rPr>
                <w:rFonts w:ascii="Century Gothic" w:hAnsi="Century Gothic"/>
                <w:b/>
                <w:color w:val="FFFFFF" w:themeColor="background1"/>
                <w:sz w:val="18"/>
                <w:szCs w:val="18"/>
              </w:rPr>
            </w:pPr>
            <w:r w:rsidRPr="0050035B">
              <w:rPr>
                <w:rFonts w:ascii="Century Gothic" w:hAnsi="Century Gothic"/>
                <w:b/>
                <w:color w:val="FFFFFF" w:themeColor="background1"/>
                <w:sz w:val="18"/>
                <w:szCs w:val="18"/>
              </w:rPr>
              <w:t xml:space="preserve">Aprovechamientos </w:t>
            </w:r>
          </w:p>
        </w:tc>
        <w:tc>
          <w:tcPr>
            <w:tcW w:w="1860" w:type="dxa"/>
            <w:vAlign w:val="center"/>
          </w:tcPr>
          <w:p w:rsidR="008C6E0F" w:rsidRPr="0050035B" w:rsidRDefault="008C6E0F" w:rsidP="008C6E0F">
            <w:pPr>
              <w:jc w:val="center"/>
              <w:rPr>
                <w:rFonts w:ascii="Century Gothic" w:hAnsi="Century Gothic"/>
                <w:strike/>
                <w:sz w:val="18"/>
                <w:szCs w:val="18"/>
              </w:rPr>
            </w:pPr>
            <w:r>
              <w:rPr>
                <w:rFonts w:ascii="Century Gothic" w:hAnsi="Century Gothic" w:cs="Calibri"/>
                <w:color w:val="000000"/>
                <w:sz w:val="18"/>
                <w:szCs w:val="18"/>
              </w:rPr>
              <w:t>$302,272,840.01</w:t>
            </w:r>
          </w:p>
        </w:tc>
        <w:tc>
          <w:tcPr>
            <w:tcW w:w="1842" w:type="dxa"/>
            <w:noWrap/>
            <w:vAlign w:val="center"/>
          </w:tcPr>
          <w:p w:rsidR="008C6E0F" w:rsidRPr="0050035B" w:rsidRDefault="008C6E0F" w:rsidP="008C6E0F">
            <w:pPr>
              <w:jc w:val="center"/>
              <w:rPr>
                <w:rFonts w:ascii="Century Gothic" w:eastAsia="Times New Roman" w:hAnsi="Century Gothic" w:cs="Arial"/>
                <w:strike/>
                <w:color w:val="000000"/>
                <w:sz w:val="18"/>
                <w:szCs w:val="18"/>
                <w:lang w:eastAsia="es-MX"/>
              </w:rPr>
            </w:pPr>
            <w:r>
              <w:rPr>
                <w:rFonts w:ascii="Century Gothic" w:hAnsi="Century Gothic" w:cs="Calibri"/>
                <w:color w:val="000000"/>
                <w:sz w:val="18"/>
                <w:szCs w:val="18"/>
              </w:rPr>
              <w:t>$295,116,297.27</w:t>
            </w:r>
          </w:p>
        </w:tc>
        <w:tc>
          <w:tcPr>
            <w:tcW w:w="1843" w:type="dxa"/>
            <w:vAlign w:val="center"/>
          </w:tcPr>
          <w:p w:rsidR="008C6E0F" w:rsidRPr="0050035B" w:rsidRDefault="008C6E0F" w:rsidP="008C6E0F">
            <w:pPr>
              <w:jc w:val="center"/>
              <w:rPr>
                <w:rFonts w:ascii="Century Gothic" w:hAnsi="Century Gothic" w:cs="Arial"/>
                <w:strike/>
                <w:sz w:val="18"/>
                <w:szCs w:val="18"/>
              </w:rPr>
            </w:pPr>
            <w:r>
              <w:rPr>
                <w:rFonts w:ascii="Century Gothic" w:hAnsi="Century Gothic" w:cs="Calibri"/>
                <w:color w:val="000000"/>
                <w:sz w:val="18"/>
                <w:szCs w:val="18"/>
              </w:rPr>
              <w:t xml:space="preserve">      228,099,297.62 </w:t>
            </w:r>
          </w:p>
        </w:tc>
        <w:tc>
          <w:tcPr>
            <w:tcW w:w="1843" w:type="dxa"/>
            <w:noWrap/>
            <w:vAlign w:val="center"/>
          </w:tcPr>
          <w:p w:rsidR="008C6E0F" w:rsidRPr="0050035B" w:rsidRDefault="008C6E0F" w:rsidP="008C6E0F">
            <w:pPr>
              <w:jc w:val="center"/>
              <w:rPr>
                <w:rFonts w:ascii="Century Gothic" w:hAnsi="Century Gothic" w:cs="Arial"/>
                <w:strike/>
                <w:sz w:val="18"/>
                <w:szCs w:val="18"/>
              </w:rPr>
            </w:pPr>
            <w:r>
              <w:rPr>
                <w:rFonts w:ascii="Century Gothic" w:hAnsi="Century Gothic" w:cs="Calibri"/>
                <w:color w:val="000000"/>
                <w:sz w:val="18"/>
                <w:szCs w:val="18"/>
              </w:rPr>
              <w:t>-22.71%</w:t>
            </w:r>
          </w:p>
        </w:tc>
      </w:tr>
      <w:tr w:rsidR="008C6E0F" w:rsidRPr="0050035B" w:rsidTr="00391B5A">
        <w:trPr>
          <w:trHeight w:val="315"/>
        </w:trPr>
        <w:tc>
          <w:tcPr>
            <w:tcW w:w="1963" w:type="dxa"/>
            <w:shd w:val="clear" w:color="auto" w:fill="7F7F7F" w:themeFill="text1" w:themeFillTint="80"/>
          </w:tcPr>
          <w:p w:rsidR="008C6E0F" w:rsidRPr="0050035B" w:rsidRDefault="008C6E0F" w:rsidP="008C6E0F">
            <w:pPr>
              <w:jc w:val="center"/>
              <w:rPr>
                <w:rFonts w:ascii="Century Gothic" w:hAnsi="Century Gothic"/>
                <w:b/>
                <w:color w:val="FFFFFF" w:themeColor="background1"/>
                <w:sz w:val="18"/>
                <w:szCs w:val="18"/>
              </w:rPr>
            </w:pPr>
            <w:r w:rsidRPr="0050035B">
              <w:rPr>
                <w:rFonts w:ascii="Century Gothic" w:hAnsi="Century Gothic"/>
                <w:b/>
                <w:color w:val="FFFFFF" w:themeColor="background1"/>
                <w:sz w:val="18"/>
                <w:szCs w:val="18"/>
              </w:rPr>
              <w:t>TOTAL</w:t>
            </w:r>
          </w:p>
        </w:tc>
        <w:tc>
          <w:tcPr>
            <w:tcW w:w="1860" w:type="dxa"/>
            <w:vAlign w:val="center"/>
          </w:tcPr>
          <w:p w:rsidR="008C6E0F" w:rsidRPr="0050035B" w:rsidRDefault="008C6E0F" w:rsidP="008C6E0F">
            <w:pPr>
              <w:jc w:val="center"/>
              <w:rPr>
                <w:rFonts w:ascii="Century Gothic" w:eastAsia="Times New Roman" w:hAnsi="Century Gothic" w:cs="Times New Roman"/>
                <w:b/>
                <w:strike/>
                <w:color w:val="000000"/>
                <w:sz w:val="18"/>
                <w:szCs w:val="18"/>
              </w:rPr>
            </w:pPr>
            <w:r>
              <w:rPr>
                <w:rFonts w:ascii="Century Gothic" w:hAnsi="Century Gothic" w:cs="Calibri"/>
                <w:b/>
                <w:bCs/>
                <w:color w:val="000000"/>
                <w:sz w:val="18"/>
                <w:szCs w:val="18"/>
              </w:rPr>
              <w:t>$2,858,756,990.30</w:t>
            </w:r>
          </w:p>
        </w:tc>
        <w:tc>
          <w:tcPr>
            <w:tcW w:w="1842" w:type="dxa"/>
            <w:noWrap/>
            <w:vAlign w:val="center"/>
          </w:tcPr>
          <w:p w:rsidR="008C6E0F" w:rsidRPr="0050035B" w:rsidRDefault="008C6E0F" w:rsidP="008C6E0F">
            <w:pPr>
              <w:jc w:val="center"/>
              <w:rPr>
                <w:rFonts w:ascii="Century Gothic" w:eastAsia="Times New Roman" w:hAnsi="Century Gothic" w:cs="Arial"/>
                <w:b/>
                <w:strike/>
                <w:color w:val="000000"/>
                <w:sz w:val="18"/>
                <w:szCs w:val="18"/>
                <w:lang w:eastAsia="es-ES"/>
              </w:rPr>
            </w:pPr>
            <w:r>
              <w:rPr>
                <w:rFonts w:ascii="Century Gothic" w:hAnsi="Century Gothic" w:cs="Calibri"/>
                <w:b/>
                <w:bCs/>
                <w:color w:val="000000"/>
                <w:sz w:val="18"/>
                <w:szCs w:val="18"/>
              </w:rPr>
              <w:t xml:space="preserve">   2,696,982,368.95 </w:t>
            </w:r>
          </w:p>
        </w:tc>
        <w:tc>
          <w:tcPr>
            <w:tcW w:w="1843" w:type="dxa"/>
            <w:vAlign w:val="center"/>
          </w:tcPr>
          <w:p w:rsidR="008C6E0F" w:rsidRPr="0050035B" w:rsidRDefault="008C6E0F" w:rsidP="008C6E0F">
            <w:pPr>
              <w:jc w:val="center"/>
              <w:rPr>
                <w:rFonts w:ascii="Century Gothic" w:hAnsi="Century Gothic" w:cs="Calibri"/>
                <w:b/>
                <w:bCs/>
                <w:strike/>
                <w:color w:val="000000"/>
                <w:sz w:val="18"/>
              </w:rPr>
            </w:pPr>
            <w:r>
              <w:rPr>
                <w:rFonts w:ascii="Century Gothic" w:hAnsi="Century Gothic" w:cs="Calibri"/>
                <w:b/>
                <w:bCs/>
                <w:color w:val="000000"/>
                <w:sz w:val="18"/>
                <w:szCs w:val="18"/>
              </w:rPr>
              <w:t xml:space="preserve">   2,907,750,541.46 </w:t>
            </w:r>
          </w:p>
        </w:tc>
        <w:tc>
          <w:tcPr>
            <w:tcW w:w="1843" w:type="dxa"/>
            <w:noWrap/>
            <w:vAlign w:val="center"/>
          </w:tcPr>
          <w:p w:rsidR="008C6E0F" w:rsidRPr="0050035B" w:rsidRDefault="008C6E0F" w:rsidP="008C6E0F">
            <w:pPr>
              <w:jc w:val="center"/>
              <w:rPr>
                <w:rFonts w:ascii="Century Gothic" w:hAnsi="Century Gothic" w:cs="Arial"/>
                <w:b/>
                <w:strike/>
                <w:sz w:val="18"/>
                <w:szCs w:val="18"/>
              </w:rPr>
            </w:pPr>
            <w:r>
              <w:rPr>
                <w:rFonts w:ascii="Century Gothic" w:hAnsi="Century Gothic" w:cs="Calibri"/>
                <w:b/>
                <w:bCs/>
                <w:color w:val="000000"/>
                <w:sz w:val="18"/>
                <w:szCs w:val="18"/>
              </w:rPr>
              <w:t>7.81%</w:t>
            </w:r>
          </w:p>
        </w:tc>
      </w:tr>
    </w:tbl>
    <w:p w:rsidR="00106A66" w:rsidRPr="0050035B" w:rsidRDefault="00B7103F" w:rsidP="00106A66">
      <w:pPr>
        <w:ind w:firstLine="720"/>
        <w:rPr>
          <w:rFonts w:ascii="Century Gothic" w:hAnsi="Century Gothic"/>
          <w:sz w:val="20"/>
          <w:szCs w:val="20"/>
          <w:lang w:val="es-MX"/>
        </w:rPr>
      </w:pPr>
      <w:r w:rsidRPr="0050035B">
        <w:rPr>
          <w:rFonts w:ascii="Century Gothic" w:hAnsi="Century Gothic"/>
          <w:sz w:val="20"/>
          <w:szCs w:val="20"/>
          <w:lang w:val="es-MX"/>
        </w:rPr>
        <w:t xml:space="preserve"> </w:t>
      </w:r>
      <w:r w:rsidR="00846DE2" w:rsidRPr="0050035B">
        <w:rPr>
          <w:rFonts w:ascii="Century Gothic" w:hAnsi="Century Gothic"/>
          <w:b/>
          <w:bCs/>
          <w:sz w:val="20"/>
          <w:szCs w:val="20"/>
          <w:lang w:val="es-MX"/>
        </w:rPr>
        <w:t>Fuente</w:t>
      </w:r>
      <w:r w:rsidR="00846DE2" w:rsidRPr="0050035B">
        <w:rPr>
          <w:rFonts w:ascii="Century Gothic" w:hAnsi="Century Gothic"/>
          <w:sz w:val="20"/>
          <w:szCs w:val="20"/>
          <w:lang w:val="es-MX"/>
        </w:rPr>
        <w:t>: Elaboración propia, 202</w:t>
      </w:r>
      <w:r w:rsidR="008C6E0F">
        <w:rPr>
          <w:rFonts w:ascii="Century Gothic" w:hAnsi="Century Gothic"/>
          <w:sz w:val="20"/>
          <w:szCs w:val="20"/>
          <w:lang w:val="es-MX"/>
        </w:rPr>
        <w:t>1</w:t>
      </w:r>
      <w:r w:rsidR="00106A66" w:rsidRPr="0050035B">
        <w:rPr>
          <w:rFonts w:ascii="Century Gothic" w:hAnsi="Century Gothic"/>
          <w:sz w:val="20"/>
          <w:szCs w:val="20"/>
          <w:lang w:val="es-MX"/>
        </w:rPr>
        <w:t>.</w:t>
      </w:r>
    </w:p>
    <w:p w:rsidR="002C6D7D" w:rsidRDefault="002C6D7D">
      <w:pPr>
        <w:rPr>
          <w:rFonts w:ascii="Century Gothic" w:hAnsi="Century Gothic"/>
          <w:b/>
          <w:lang w:val="es-MX"/>
        </w:rPr>
      </w:pPr>
    </w:p>
    <w:p w:rsidR="0024110C" w:rsidRDefault="0024110C">
      <w:pPr>
        <w:rPr>
          <w:rFonts w:ascii="Century Gothic" w:hAnsi="Century Gothic"/>
          <w:b/>
          <w:lang w:val="es-MX"/>
        </w:rPr>
      </w:pPr>
    </w:p>
    <w:p w:rsidR="008D7D5A" w:rsidRDefault="008D7D5A">
      <w:pPr>
        <w:rPr>
          <w:rFonts w:ascii="Century Gothic" w:hAnsi="Century Gothic"/>
          <w:b/>
          <w:lang w:val="es-MX"/>
        </w:rPr>
      </w:pPr>
    </w:p>
    <w:p w:rsidR="008D7D5A" w:rsidRDefault="008D7D5A">
      <w:pPr>
        <w:rPr>
          <w:rFonts w:ascii="Century Gothic" w:hAnsi="Century Gothic"/>
          <w:b/>
          <w:lang w:val="es-MX"/>
        </w:rPr>
      </w:pPr>
    </w:p>
    <w:p w:rsidR="00B00A2F" w:rsidRDefault="00B00A2F">
      <w:pPr>
        <w:rPr>
          <w:rFonts w:ascii="Century Gothic" w:hAnsi="Century Gothic"/>
          <w:b/>
          <w:lang w:val="es-MX"/>
        </w:rPr>
      </w:pPr>
    </w:p>
    <w:p w:rsidR="00B00A2F" w:rsidRDefault="00B00A2F">
      <w:pPr>
        <w:rPr>
          <w:rFonts w:ascii="Century Gothic" w:hAnsi="Century Gothic"/>
          <w:b/>
          <w:lang w:val="es-MX"/>
        </w:rPr>
      </w:pPr>
    </w:p>
    <w:p w:rsidR="00B00A2F" w:rsidRDefault="00B00A2F">
      <w:pPr>
        <w:rPr>
          <w:rFonts w:ascii="Century Gothic" w:hAnsi="Century Gothic"/>
          <w:b/>
          <w:lang w:val="es-MX"/>
        </w:rPr>
      </w:pPr>
    </w:p>
    <w:p w:rsidR="008D7D5A" w:rsidRPr="0050035B" w:rsidRDefault="008D7D5A">
      <w:pPr>
        <w:rPr>
          <w:rFonts w:ascii="Century Gothic" w:hAnsi="Century Gothic"/>
          <w:b/>
          <w:lang w:val="es-MX"/>
        </w:rPr>
      </w:pPr>
    </w:p>
    <w:p w:rsidR="00166413" w:rsidRPr="0050035B" w:rsidRDefault="005267A7" w:rsidP="00935A7F">
      <w:pPr>
        <w:spacing w:line="360" w:lineRule="auto"/>
        <w:jc w:val="both"/>
        <w:rPr>
          <w:rFonts w:ascii="Century Gothic" w:hAnsi="Century Gothic"/>
          <w:b/>
          <w:sz w:val="18"/>
          <w:szCs w:val="18"/>
          <w:lang w:val="es-MX"/>
        </w:rPr>
      </w:pPr>
      <w:r w:rsidRPr="0050035B">
        <w:rPr>
          <w:rFonts w:ascii="Century Gothic" w:hAnsi="Century Gothic"/>
          <w:b/>
          <w:lang w:val="es-MX"/>
        </w:rPr>
        <w:lastRenderedPageBreak/>
        <w:t>4.</w:t>
      </w:r>
      <w:r w:rsidR="00A337B1" w:rsidRPr="0050035B">
        <w:rPr>
          <w:rFonts w:ascii="Century Gothic" w:hAnsi="Century Gothic"/>
          <w:b/>
          <w:lang w:val="es-MX"/>
        </w:rPr>
        <w:t>3</w:t>
      </w:r>
      <w:r w:rsidR="000D24A0" w:rsidRPr="0050035B">
        <w:rPr>
          <w:rFonts w:ascii="Century Gothic" w:hAnsi="Century Gothic"/>
          <w:b/>
          <w:lang w:val="es-MX"/>
        </w:rPr>
        <w:t>.</w:t>
      </w:r>
      <w:r w:rsidR="00882DA1" w:rsidRPr="0050035B">
        <w:rPr>
          <w:rFonts w:ascii="Century Gothic" w:hAnsi="Century Gothic"/>
          <w:b/>
          <w:lang w:val="es-MX"/>
        </w:rPr>
        <w:t xml:space="preserve"> Distribución de los Ingresos por </w:t>
      </w:r>
      <w:r w:rsidR="008F203D" w:rsidRPr="0050035B">
        <w:rPr>
          <w:rFonts w:ascii="Century Gothic" w:hAnsi="Century Gothic"/>
          <w:b/>
          <w:lang w:val="es-MX"/>
        </w:rPr>
        <w:t>Concepto</w:t>
      </w:r>
      <w:r w:rsidR="00882DA1" w:rsidRPr="0050035B">
        <w:rPr>
          <w:rFonts w:ascii="Century Gothic" w:hAnsi="Century Gothic"/>
          <w:b/>
          <w:lang w:val="es-MX"/>
        </w:rPr>
        <w:t xml:space="preserve"> de </w:t>
      </w:r>
      <w:r w:rsidR="003B78F4" w:rsidRPr="0050035B">
        <w:rPr>
          <w:rFonts w:ascii="Century Gothic" w:hAnsi="Century Gothic"/>
          <w:b/>
          <w:lang w:val="es-MX"/>
        </w:rPr>
        <w:t>“</w:t>
      </w:r>
      <w:r w:rsidR="00882DA1" w:rsidRPr="0050035B">
        <w:rPr>
          <w:rFonts w:ascii="Century Gothic" w:hAnsi="Century Gothic"/>
          <w:b/>
          <w:i/>
          <w:u w:val="single"/>
          <w:lang w:val="es-MX"/>
        </w:rPr>
        <w:t>Impuestos</w:t>
      </w:r>
      <w:r w:rsidR="003B78F4" w:rsidRPr="0050035B">
        <w:rPr>
          <w:rFonts w:ascii="Century Gothic" w:hAnsi="Century Gothic"/>
          <w:b/>
          <w:lang w:val="es-MX"/>
        </w:rPr>
        <w:t>”</w:t>
      </w:r>
      <w:r w:rsidR="00882DA1" w:rsidRPr="0050035B">
        <w:rPr>
          <w:rFonts w:ascii="Century Gothic" w:hAnsi="Century Gothic"/>
          <w:b/>
          <w:lang w:val="es-MX"/>
        </w:rPr>
        <w:t xml:space="preserve"> Presupu</w:t>
      </w:r>
      <w:r w:rsidR="00DB5521" w:rsidRPr="0050035B">
        <w:rPr>
          <w:rFonts w:ascii="Century Gothic" w:hAnsi="Century Gothic"/>
          <w:b/>
          <w:lang w:val="es-MX"/>
        </w:rPr>
        <w:t>e</w:t>
      </w:r>
      <w:r w:rsidR="00373DAB" w:rsidRPr="0050035B">
        <w:rPr>
          <w:rFonts w:ascii="Century Gothic" w:hAnsi="Century Gothic"/>
          <w:b/>
          <w:lang w:val="es-MX"/>
        </w:rPr>
        <w:t>stado</w:t>
      </w:r>
      <w:r w:rsidR="008F6AF2" w:rsidRPr="0050035B">
        <w:rPr>
          <w:rFonts w:ascii="Century Gothic" w:hAnsi="Century Gothic"/>
          <w:b/>
          <w:lang w:val="es-MX"/>
        </w:rPr>
        <w:t>s para el 202</w:t>
      </w:r>
      <w:r w:rsidR="008C6E0F">
        <w:rPr>
          <w:rFonts w:ascii="Century Gothic" w:hAnsi="Century Gothic"/>
          <w:b/>
          <w:lang w:val="es-MX"/>
        </w:rPr>
        <w:t>2</w:t>
      </w:r>
      <w:r w:rsidR="00935A7F" w:rsidRPr="0050035B">
        <w:rPr>
          <w:rFonts w:ascii="Century Gothic" w:hAnsi="Century Gothic"/>
          <w:b/>
          <w:lang w:val="es-MX"/>
        </w:rPr>
        <w:t>.</w:t>
      </w:r>
    </w:p>
    <w:p w:rsidR="00DB5521" w:rsidRPr="0050035B" w:rsidRDefault="00711468" w:rsidP="00A62158">
      <w:pPr>
        <w:spacing w:line="360" w:lineRule="auto"/>
        <w:jc w:val="both"/>
        <w:rPr>
          <w:rFonts w:ascii="Century Gothic" w:hAnsi="Century Gothic"/>
          <w:lang w:val="es-MX"/>
        </w:rPr>
      </w:pPr>
      <w:r w:rsidRPr="0050035B">
        <w:rPr>
          <w:rFonts w:ascii="Century Gothic" w:hAnsi="Century Gothic"/>
          <w:lang w:val="es-MX"/>
        </w:rPr>
        <w:t>El</w:t>
      </w:r>
      <w:r w:rsidR="00D91261" w:rsidRPr="0050035B">
        <w:rPr>
          <w:rFonts w:ascii="Century Gothic" w:hAnsi="Century Gothic"/>
          <w:lang w:val="es-MX"/>
        </w:rPr>
        <w:t xml:space="preserve"> rubro que mayores ingresos representa para las </w:t>
      </w:r>
      <w:r w:rsidR="00C6755F" w:rsidRPr="0050035B">
        <w:rPr>
          <w:rFonts w:ascii="Century Gothic" w:hAnsi="Century Gothic"/>
          <w:lang w:val="es-MX"/>
        </w:rPr>
        <w:t>administraciones</w:t>
      </w:r>
      <w:r w:rsidR="00D91261" w:rsidRPr="0050035B">
        <w:rPr>
          <w:rFonts w:ascii="Century Gothic" w:hAnsi="Century Gothic"/>
          <w:lang w:val="es-MX"/>
        </w:rPr>
        <w:t xml:space="preserve"> municipales es sin duda el</w:t>
      </w:r>
      <w:r w:rsidR="00377835" w:rsidRPr="0050035B">
        <w:rPr>
          <w:rFonts w:ascii="Century Gothic" w:hAnsi="Century Gothic"/>
          <w:lang w:val="es-MX"/>
        </w:rPr>
        <w:t xml:space="preserve"> de</w:t>
      </w:r>
      <w:r w:rsidR="00D91261" w:rsidRPr="0050035B">
        <w:rPr>
          <w:rFonts w:ascii="Century Gothic" w:hAnsi="Century Gothic"/>
          <w:lang w:val="es-MX"/>
        </w:rPr>
        <w:t xml:space="preserve"> impuestos. </w:t>
      </w:r>
      <w:r w:rsidR="00DB5521" w:rsidRPr="0050035B">
        <w:rPr>
          <w:rFonts w:ascii="Century Gothic" w:hAnsi="Century Gothic"/>
          <w:lang w:val="es-MX"/>
        </w:rPr>
        <w:t xml:space="preserve">Los </w:t>
      </w:r>
      <w:r w:rsidR="00D760AF" w:rsidRPr="0050035B">
        <w:rPr>
          <w:rFonts w:ascii="Century Gothic" w:hAnsi="Century Gothic"/>
          <w:lang w:val="es-MX"/>
        </w:rPr>
        <w:t>ingresos por I</w:t>
      </w:r>
      <w:r w:rsidR="00DB5521" w:rsidRPr="0050035B">
        <w:rPr>
          <w:rFonts w:ascii="Century Gothic" w:hAnsi="Century Gothic"/>
          <w:lang w:val="es-MX"/>
        </w:rPr>
        <w:t xml:space="preserve">mpuestos también conocidos como </w:t>
      </w:r>
      <w:r w:rsidR="00D760AF" w:rsidRPr="0050035B">
        <w:rPr>
          <w:rFonts w:ascii="Century Gothic" w:hAnsi="Century Gothic"/>
          <w:lang w:val="es-MX"/>
        </w:rPr>
        <w:t>“</w:t>
      </w:r>
      <w:r w:rsidR="00DB5521" w:rsidRPr="0050035B">
        <w:rPr>
          <w:rFonts w:ascii="Century Gothic" w:hAnsi="Century Gothic"/>
          <w:lang w:val="es-MX"/>
        </w:rPr>
        <w:t>ingresos tributarios</w:t>
      </w:r>
      <w:r w:rsidR="00D760AF" w:rsidRPr="0050035B">
        <w:rPr>
          <w:rFonts w:ascii="Century Gothic" w:hAnsi="Century Gothic"/>
          <w:lang w:val="es-MX"/>
        </w:rPr>
        <w:t>”</w:t>
      </w:r>
      <w:r w:rsidR="00287B11" w:rsidRPr="0050035B">
        <w:rPr>
          <w:rFonts w:ascii="Century Gothic" w:hAnsi="Century Gothic"/>
          <w:lang w:val="es-MX"/>
        </w:rPr>
        <w:t>,</w:t>
      </w:r>
      <w:r w:rsidR="00DB5521" w:rsidRPr="0050035B">
        <w:rPr>
          <w:rFonts w:ascii="Century Gothic" w:hAnsi="Century Gothic"/>
          <w:lang w:val="es-MX"/>
        </w:rPr>
        <w:t xml:space="preserve"> </w:t>
      </w:r>
      <w:r w:rsidR="00C6755F" w:rsidRPr="0050035B">
        <w:rPr>
          <w:rFonts w:ascii="Century Gothic" w:hAnsi="Century Gothic"/>
          <w:lang w:val="es-MX"/>
        </w:rPr>
        <w:t>se definen como</w:t>
      </w:r>
      <w:r w:rsidR="00166413" w:rsidRPr="0050035B">
        <w:rPr>
          <w:rFonts w:ascii="Century Gothic" w:hAnsi="Century Gothic"/>
          <w:lang w:val="es-MX"/>
        </w:rPr>
        <w:t xml:space="preserve"> </w:t>
      </w:r>
      <w:r w:rsidR="009D2869" w:rsidRPr="0050035B">
        <w:rPr>
          <w:rFonts w:ascii="Century Gothic" w:hAnsi="Century Gothic"/>
          <w:lang w:val="es-MX"/>
        </w:rPr>
        <w:t>“</w:t>
      </w:r>
      <w:r w:rsidR="001A448E" w:rsidRPr="0050035B">
        <w:rPr>
          <w:rFonts w:ascii="Century Gothic" w:hAnsi="Century Gothic"/>
          <w:i/>
          <w:lang w:val="es-MX"/>
        </w:rPr>
        <w:t>E</w:t>
      </w:r>
      <w:r w:rsidR="00C6755F" w:rsidRPr="0050035B">
        <w:rPr>
          <w:rFonts w:ascii="Century Gothic" w:hAnsi="Century Gothic"/>
          <w:i/>
          <w:lang w:val="es-MX"/>
        </w:rPr>
        <w:t xml:space="preserve">l pago por </w:t>
      </w:r>
      <w:r w:rsidR="00166413" w:rsidRPr="0050035B">
        <w:rPr>
          <w:rFonts w:ascii="Century Gothic" w:hAnsi="Century Gothic"/>
          <w:i/>
          <w:lang w:val="es-MX"/>
        </w:rPr>
        <w:t xml:space="preserve">las prestaciones establecidas en ley que deben </w:t>
      </w:r>
      <w:r w:rsidR="00C6755F" w:rsidRPr="0050035B">
        <w:rPr>
          <w:rFonts w:ascii="Century Gothic" w:hAnsi="Century Gothic"/>
          <w:i/>
          <w:lang w:val="es-MX"/>
        </w:rPr>
        <w:t>solventar</w:t>
      </w:r>
      <w:r w:rsidR="00166413" w:rsidRPr="0050035B">
        <w:rPr>
          <w:rFonts w:ascii="Century Gothic" w:hAnsi="Century Gothic"/>
          <w:i/>
          <w:lang w:val="es-MX"/>
        </w:rPr>
        <w:t xml:space="preserve"> las personas físicas y morales que se encuentren en la situación jurídica o de hecho prevista por la misma y que sean distintas </w:t>
      </w:r>
      <w:r w:rsidR="00935A7F" w:rsidRPr="0050035B">
        <w:rPr>
          <w:rFonts w:ascii="Century Gothic" w:hAnsi="Century Gothic"/>
          <w:i/>
          <w:lang w:val="es-MX"/>
        </w:rPr>
        <w:t xml:space="preserve">a las Contribuciones y </w:t>
      </w:r>
      <w:r w:rsidR="009D2869" w:rsidRPr="0050035B">
        <w:rPr>
          <w:rFonts w:ascii="Century Gothic" w:hAnsi="Century Gothic"/>
          <w:i/>
          <w:lang w:val="es-MX"/>
        </w:rPr>
        <w:t>Derechos</w:t>
      </w:r>
      <w:r w:rsidR="00C6755F" w:rsidRPr="0050035B">
        <w:rPr>
          <w:rStyle w:val="Refdenotaalpie"/>
          <w:rFonts w:ascii="Century Gothic" w:hAnsi="Century Gothic"/>
          <w:lang w:val="es-MX"/>
        </w:rPr>
        <w:footnoteReference w:id="47"/>
      </w:r>
      <w:r w:rsidR="009D2869" w:rsidRPr="0050035B">
        <w:rPr>
          <w:rFonts w:ascii="Century Gothic" w:hAnsi="Century Gothic"/>
          <w:lang w:val="es-MX"/>
        </w:rPr>
        <w:t>”.</w:t>
      </w:r>
      <w:r w:rsidR="003A6064" w:rsidRPr="0050035B">
        <w:rPr>
          <w:rFonts w:ascii="Century Gothic" w:hAnsi="Century Gothic"/>
          <w:lang w:val="es-MX"/>
        </w:rPr>
        <w:t xml:space="preserve"> </w:t>
      </w:r>
      <w:r w:rsidR="00D760AF" w:rsidRPr="0050035B">
        <w:rPr>
          <w:rFonts w:ascii="Century Gothic" w:hAnsi="Century Gothic"/>
          <w:lang w:val="es-MX"/>
        </w:rPr>
        <w:t>Estos ingresos son considerados fundamentales</w:t>
      </w:r>
      <w:r w:rsidR="00DB5521" w:rsidRPr="0050035B">
        <w:rPr>
          <w:rFonts w:ascii="Century Gothic" w:hAnsi="Century Gothic"/>
          <w:lang w:val="es-MX"/>
        </w:rPr>
        <w:t xml:space="preserve"> p</w:t>
      </w:r>
      <w:r w:rsidR="00D760AF" w:rsidRPr="0050035B">
        <w:rPr>
          <w:rFonts w:ascii="Century Gothic" w:hAnsi="Century Gothic"/>
          <w:lang w:val="es-MX"/>
        </w:rPr>
        <w:t>ara el financiami</w:t>
      </w:r>
      <w:r w:rsidR="00685630" w:rsidRPr="0050035B">
        <w:rPr>
          <w:rFonts w:ascii="Century Gothic" w:hAnsi="Century Gothic"/>
          <w:lang w:val="es-MX"/>
        </w:rPr>
        <w:t>ento del gasto y operación del M</w:t>
      </w:r>
      <w:r w:rsidR="00BB2EAC" w:rsidRPr="0050035B">
        <w:rPr>
          <w:rFonts w:ascii="Century Gothic" w:hAnsi="Century Gothic"/>
          <w:lang w:val="es-MX"/>
        </w:rPr>
        <w:t>unicipio</w:t>
      </w:r>
      <w:r w:rsidR="00D760AF" w:rsidRPr="0050035B">
        <w:rPr>
          <w:rFonts w:ascii="Century Gothic" w:hAnsi="Century Gothic"/>
          <w:lang w:val="es-MX"/>
        </w:rPr>
        <w:t>.</w:t>
      </w:r>
    </w:p>
    <w:p w:rsidR="00E717AB" w:rsidRPr="0050035B" w:rsidRDefault="00E717AB" w:rsidP="00A62158">
      <w:pPr>
        <w:spacing w:line="360" w:lineRule="auto"/>
        <w:jc w:val="both"/>
        <w:rPr>
          <w:rFonts w:ascii="Century Gothic" w:hAnsi="Century Gothic"/>
          <w:lang w:val="es-MX"/>
        </w:rPr>
      </w:pPr>
    </w:p>
    <w:p w:rsidR="00E92294" w:rsidRPr="0050035B" w:rsidRDefault="00812376" w:rsidP="00683907">
      <w:pPr>
        <w:spacing w:line="360" w:lineRule="auto"/>
        <w:ind w:firstLine="720"/>
        <w:jc w:val="both"/>
        <w:rPr>
          <w:rFonts w:ascii="Century Gothic" w:hAnsi="Century Gothic"/>
          <w:lang w:val="es-MX"/>
        </w:rPr>
      </w:pPr>
      <w:r w:rsidRPr="0050035B">
        <w:rPr>
          <w:rFonts w:ascii="Century Gothic" w:hAnsi="Century Gothic"/>
          <w:lang w:val="es-MX"/>
        </w:rPr>
        <w:t>En la</w:t>
      </w:r>
      <w:r w:rsidR="00C6755F" w:rsidRPr="0050035B">
        <w:rPr>
          <w:rFonts w:ascii="Century Gothic" w:hAnsi="Century Gothic"/>
          <w:lang w:val="es-MX"/>
        </w:rPr>
        <w:t xml:space="preserve"> </w:t>
      </w:r>
      <w:r w:rsidRPr="0050035B">
        <w:rPr>
          <w:rFonts w:ascii="Century Gothic" w:hAnsi="Century Gothic"/>
          <w:lang w:val="es-MX"/>
        </w:rPr>
        <w:t>t</w:t>
      </w:r>
      <w:r w:rsidR="006501D9" w:rsidRPr="0050035B">
        <w:rPr>
          <w:rFonts w:ascii="Century Gothic" w:hAnsi="Century Gothic"/>
          <w:lang w:val="es-MX"/>
        </w:rPr>
        <w:t xml:space="preserve">abla </w:t>
      </w:r>
      <w:r w:rsidRPr="0050035B">
        <w:rPr>
          <w:rFonts w:ascii="Century Gothic" w:hAnsi="Century Gothic"/>
          <w:lang w:val="es-MX"/>
        </w:rPr>
        <w:t>4.4</w:t>
      </w:r>
      <w:r w:rsidR="00F57E38" w:rsidRPr="0050035B">
        <w:rPr>
          <w:rFonts w:ascii="Century Gothic" w:hAnsi="Century Gothic"/>
          <w:lang w:val="es-MX"/>
        </w:rPr>
        <w:t xml:space="preserve"> </w:t>
      </w:r>
      <w:r w:rsidR="00C6755F" w:rsidRPr="0050035B">
        <w:rPr>
          <w:rFonts w:ascii="Century Gothic" w:hAnsi="Century Gothic"/>
          <w:lang w:val="es-MX"/>
        </w:rPr>
        <w:t xml:space="preserve">donde </w:t>
      </w:r>
      <w:r w:rsidR="006501D9" w:rsidRPr="0050035B">
        <w:rPr>
          <w:rFonts w:ascii="Century Gothic" w:hAnsi="Century Gothic"/>
          <w:lang w:val="es-MX"/>
        </w:rPr>
        <w:t xml:space="preserve">se </w:t>
      </w:r>
      <w:r w:rsidR="00DB5521" w:rsidRPr="0050035B">
        <w:rPr>
          <w:rFonts w:ascii="Century Gothic" w:hAnsi="Century Gothic"/>
          <w:lang w:val="es-MX"/>
        </w:rPr>
        <w:t xml:space="preserve">expone </w:t>
      </w:r>
      <w:r w:rsidR="00EB4805" w:rsidRPr="0050035B">
        <w:rPr>
          <w:rFonts w:ascii="Century Gothic" w:hAnsi="Century Gothic"/>
          <w:lang w:val="es-MX"/>
        </w:rPr>
        <w:t xml:space="preserve">la distribución y comportamiento </w:t>
      </w:r>
      <w:r w:rsidR="00C6755F" w:rsidRPr="0050035B">
        <w:rPr>
          <w:rFonts w:ascii="Century Gothic" w:hAnsi="Century Gothic"/>
          <w:lang w:val="es-MX"/>
        </w:rPr>
        <w:t xml:space="preserve">histórico </w:t>
      </w:r>
      <w:r w:rsidR="00EB4805" w:rsidRPr="0050035B">
        <w:rPr>
          <w:rFonts w:ascii="Century Gothic" w:hAnsi="Century Gothic"/>
          <w:lang w:val="es-MX"/>
        </w:rPr>
        <w:t>de los ingresos</w:t>
      </w:r>
      <w:r w:rsidR="00DB5521" w:rsidRPr="0050035B">
        <w:rPr>
          <w:rFonts w:ascii="Century Gothic" w:hAnsi="Century Gothic"/>
          <w:lang w:val="es-MX"/>
        </w:rPr>
        <w:t xml:space="preserve"> propios por </w:t>
      </w:r>
      <w:r w:rsidR="00BB2EAC" w:rsidRPr="0050035B">
        <w:rPr>
          <w:rFonts w:ascii="Century Gothic" w:hAnsi="Century Gothic"/>
          <w:lang w:val="es-MX"/>
        </w:rPr>
        <w:t>concepto de I</w:t>
      </w:r>
      <w:r w:rsidR="00DB5521" w:rsidRPr="0050035B">
        <w:rPr>
          <w:rFonts w:ascii="Century Gothic" w:hAnsi="Century Gothic"/>
          <w:lang w:val="es-MX"/>
        </w:rPr>
        <w:t xml:space="preserve">mpuestos, </w:t>
      </w:r>
      <w:r w:rsidR="00EB4805" w:rsidRPr="0050035B">
        <w:rPr>
          <w:rFonts w:ascii="Century Gothic" w:hAnsi="Century Gothic"/>
          <w:lang w:val="es-MX"/>
        </w:rPr>
        <w:t>clasificados</w:t>
      </w:r>
      <w:r w:rsidR="00DB5521" w:rsidRPr="0050035B">
        <w:rPr>
          <w:rFonts w:ascii="Century Gothic" w:hAnsi="Century Gothic"/>
          <w:lang w:val="es-MX"/>
        </w:rPr>
        <w:t xml:space="preserve"> por </w:t>
      </w:r>
      <w:r w:rsidR="00BB2EAC" w:rsidRPr="0050035B">
        <w:rPr>
          <w:rFonts w:ascii="Century Gothic" w:hAnsi="Century Gothic"/>
          <w:lang w:val="es-MX"/>
        </w:rPr>
        <w:t xml:space="preserve">el </w:t>
      </w:r>
      <w:r w:rsidR="00DB5521" w:rsidRPr="0050035B">
        <w:rPr>
          <w:rFonts w:ascii="Century Gothic" w:hAnsi="Century Gothic"/>
          <w:lang w:val="es-MX"/>
        </w:rPr>
        <w:t xml:space="preserve">tipo de impuesto. </w:t>
      </w:r>
      <w:r w:rsidR="001A448E" w:rsidRPr="0050035B">
        <w:rPr>
          <w:rFonts w:ascii="Century Gothic" w:hAnsi="Century Gothic"/>
          <w:lang w:val="es-MX"/>
        </w:rPr>
        <w:t>Del</w:t>
      </w:r>
      <w:r w:rsidR="00BB2EAC" w:rsidRPr="0050035B">
        <w:rPr>
          <w:rFonts w:ascii="Century Gothic" w:hAnsi="Century Gothic"/>
          <w:lang w:val="es-MX"/>
        </w:rPr>
        <w:t xml:space="preserve"> total de </w:t>
      </w:r>
      <w:r w:rsidR="00BB2EAC" w:rsidRPr="0050035B">
        <w:rPr>
          <w:rFonts w:ascii="Century Gothic" w:hAnsi="Century Gothic"/>
          <w:b/>
          <w:u w:val="single"/>
          <w:lang w:val="es-MX"/>
        </w:rPr>
        <w:t>Impuestos</w:t>
      </w:r>
      <w:r w:rsidR="00BB2EAC" w:rsidRPr="0050035B">
        <w:rPr>
          <w:rFonts w:ascii="Century Gothic" w:hAnsi="Century Gothic"/>
          <w:b/>
          <w:i/>
          <w:lang w:val="es-MX"/>
        </w:rPr>
        <w:t xml:space="preserve"> </w:t>
      </w:r>
      <w:r w:rsidR="00391B5A" w:rsidRPr="0050035B">
        <w:rPr>
          <w:rFonts w:ascii="Century Gothic" w:hAnsi="Century Gothic"/>
          <w:lang w:val="es-MX"/>
        </w:rPr>
        <w:t>estimados recaudar para el año fiscal 202</w:t>
      </w:r>
      <w:r w:rsidR="007B0C1A">
        <w:rPr>
          <w:rFonts w:ascii="Century Gothic" w:hAnsi="Century Gothic"/>
          <w:lang w:val="es-MX"/>
        </w:rPr>
        <w:t>2</w:t>
      </w:r>
      <w:r w:rsidR="001A448E" w:rsidRPr="0050035B">
        <w:rPr>
          <w:rFonts w:ascii="Century Gothic" w:hAnsi="Century Gothic"/>
          <w:lang w:val="es-MX"/>
        </w:rPr>
        <w:t>,</w:t>
      </w:r>
      <w:r w:rsidR="00BB2EAC" w:rsidRPr="0050035B">
        <w:rPr>
          <w:rFonts w:ascii="Century Gothic" w:hAnsi="Century Gothic"/>
          <w:lang w:val="es-MX"/>
        </w:rPr>
        <w:t xml:space="preserve"> se espera percibir </w:t>
      </w:r>
      <w:r w:rsidR="008C6E0F" w:rsidRPr="008C6E0F">
        <w:rPr>
          <w:rFonts w:ascii="Century Gothic" w:hAnsi="Century Gothic"/>
          <w:b/>
          <w:lang w:val="es-MX"/>
        </w:rPr>
        <w:t>$2,234,588,116.86</w:t>
      </w:r>
      <w:r w:rsidR="008C6E0F">
        <w:rPr>
          <w:rFonts w:ascii="Century Gothic" w:hAnsi="Century Gothic"/>
          <w:b/>
          <w:lang w:val="es-MX"/>
        </w:rPr>
        <w:t xml:space="preserve"> </w:t>
      </w:r>
      <w:r w:rsidR="009D2869" w:rsidRPr="0050035B">
        <w:rPr>
          <w:rFonts w:ascii="Century Gothic" w:hAnsi="Century Gothic"/>
          <w:b/>
          <w:lang w:val="es-MX"/>
        </w:rPr>
        <w:t>(</w:t>
      </w:r>
      <w:r w:rsidR="008C6E0F">
        <w:rPr>
          <w:rFonts w:ascii="Century Gothic" w:eastAsia="Times New Roman" w:hAnsi="Century Gothic" w:cs="Arial"/>
          <w:b/>
          <w:color w:val="000000"/>
          <w:lang w:val="es-MX" w:eastAsia="es-ES"/>
        </w:rPr>
        <w:t>Dos mil doscientos treinta y cuatro millones quinientos ochenta y ocho mil ciento dieciséis</w:t>
      </w:r>
      <w:r w:rsidR="008C6E0F" w:rsidRPr="0050035B">
        <w:rPr>
          <w:rFonts w:ascii="Century Gothic" w:eastAsia="Times New Roman" w:hAnsi="Century Gothic" w:cs="Arial"/>
          <w:b/>
          <w:color w:val="000000"/>
          <w:lang w:val="es-MX" w:eastAsia="es-ES"/>
        </w:rPr>
        <w:t xml:space="preserve"> pesos </w:t>
      </w:r>
      <w:r w:rsidR="008C6E0F">
        <w:rPr>
          <w:rFonts w:ascii="Century Gothic" w:eastAsia="Times New Roman" w:hAnsi="Century Gothic" w:cs="Arial"/>
          <w:b/>
          <w:color w:val="000000"/>
          <w:lang w:val="es-MX" w:eastAsia="es-ES"/>
        </w:rPr>
        <w:t>86</w:t>
      </w:r>
      <w:r w:rsidR="008C6E0F" w:rsidRPr="0050035B">
        <w:rPr>
          <w:rFonts w:ascii="Century Gothic" w:eastAsia="Times New Roman" w:hAnsi="Century Gothic" w:cs="Arial"/>
          <w:b/>
          <w:color w:val="000000"/>
          <w:lang w:val="es-MX" w:eastAsia="es-ES"/>
        </w:rPr>
        <w:t>/100 Moneda Nacional)</w:t>
      </w:r>
      <w:r w:rsidR="004A4E4C" w:rsidRPr="0050035B">
        <w:rPr>
          <w:rFonts w:ascii="Century Gothic" w:hAnsi="Century Gothic"/>
          <w:b/>
          <w:lang w:val="es-MX"/>
        </w:rPr>
        <w:t xml:space="preserve"> </w:t>
      </w:r>
      <w:r w:rsidR="00BB2EAC" w:rsidRPr="0050035B">
        <w:rPr>
          <w:rFonts w:ascii="Century Gothic" w:hAnsi="Century Gothic"/>
          <w:lang w:val="es-MX"/>
        </w:rPr>
        <w:t xml:space="preserve">por el cobro de </w:t>
      </w:r>
      <w:r w:rsidR="00BB2EAC" w:rsidRPr="0050035B">
        <w:rPr>
          <w:rFonts w:ascii="Century Gothic" w:hAnsi="Century Gothic"/>
          <w:b/>
          <w:lang w:val="es-MX"/>
        </w:rPr>
        <w:t>Impuestos sobre el P</w:t>
      </w:r>
      <w:r w:rsidR="00EB4805" w:rsidRPr="0050035B">
        <w:rPr>
          <w:rFonts w:ascii="Century Gothic" w:hAnsi="Century Gothic"/>
          <w:b/>
          <w:lang w:val="es-MX"/>
        </w:rPr>
        <w:t>atrimonio</w:t>
      </w:r>
      <w:r w:rsidR="00F57E38" w:rsidRPr="0050035B">
        <w:rPr>
          <w:rFonts w:ascii="Century Gothic" w:hAnsi="Century Gothic"/>
          <w:lang w:val="es-MX"/>
        </w:rPr>
        <w:t>, los cuales</w:t>
      </w:r>
      <w:r w:rsidR="00EB4805" w:rsidRPr="0050035B">
        <w:rPr>
          <w:rFonts w:ascii="Century Gothic" w:hAnsi="Century Gothic"/>
          <w:lang w:val="es-MX"/>
        </w:rPr>
        <w:t xml:space="preserve"> representan casi el total de ingresos por impuestos con el </w:t>
      </w:r>
      <w:r w:rsidR="00680959" w:rsidRPr="00680959">
        <w:rPr>
          <w:rFonts w:ascii="Century Gothic" w:hAnsi="Century Gothic"/>
          <w:b/>
          <w:lang w:val="es-MX"/>
        </w:rPr>
        <w:t>97.93</w:t>
      </w:r>
      <w:r w:rsidR="00BB2EAC" w:rsidRPr="0050035B">
        <w:rPr>
          <w:rFonts w:ascii="Century Gothic" w:hAnsi="Century Gothic"/>
          <w:b/>
          <w:lang w:val="es-MX"/>
        </w:rPr>
        <w:t>%.</w:t>
      </w:r>
      <w:r w:rsidR="00BB2EAC" w:rsidRPr="0050035B">
        <w:rPr>
          <w:rFonts w:ascii="Century Gothic" w:hAnsi="Century Gothic"/>
          <w:lang w:val="es-MX"/>
        </w:rPr>
        <w:t xml:space="preserve"> </w:t>
      </w:r>
      <w:r w:rsidR="006501D9" w:rsidRPr="0050035B">
        <w:rPr>
          <w:rFonts w:ascii="Century Gothic" w:hAnsi="Century Gothic"/>
          <w:lang w:val="es-MX"/>
        </w:rPr>
        <w:t>Los</w:t>
      </w:r>
      <w:r w:rsidR="00BB2EAC" w:rsidRPr="0050035B">
        <w:rPr>
          <w:rFonts w:ascii="Century Gothic" w:hAnsi="Century Gothic"/>
          <w:lang w:val="es-MX"/>
        </w:rPr>
        <w:t xml:space="preserve"> restante</w:t>
      </w:r>
      <w:r w:rsidR="006501D9" w:rsidRPr="0050035B">
        <w:rPr>
          <w:rFonts w:ascii="Century Gothic" w:hAnsi="Century Gothic"/>
          <w:lang w:val="es-MX"/>
        </w:rPr>
        <w:t>s</w:t>
      </w:r>
      <w:r w:rsidR="00BB2EAC" w:rsidRPr="0050035B">
        <w:rPr>
          <w:rFonts w:ascii="Century Gothic" w:hAnsi="Century Gothic"/>
          <w:lang w:val="es-MX"/>
        </w:rPr>
        <w:t xml:space="preserve"> </w:t>
      </w:r>
      <w:r w:rsidR="00680959" w:rsidRPr="00680959">
        <w:rPr>
          <w:rFonts w:ascii="Century Gothic" w:hAnsi="Century Gothic"/>
          <w:b/>
          <w:lang w:val="es-MX"/>
        </w:rPr>
        <w:t xml:space="preserve">$47,182,820.72 </w:t>
      </w:r>
      <w:r w:rsidR="009D2869" w:rsidRPr="0050035B">
        <w:rPr>
          <w:rFonts w:ascii="Century Gothic" w:hAnsi="Century Gothic"/>
          <w:b/>
          <w:lang w:val="es-MX"/>
        </w:rPr>
        <w:t>(</w:t>
      </w:r>
      <w:r w:rsidR="00680959">
        <w:rPr>
          <w:rFonts w:ascii="Century Gothic" w:hAnsi="Century Gothic"/>
          <w:b/>
          <w:lang w:val="es-MX"/>
        </w:rPr>
        <w:t>Cuarenta y siete millones ciento ochenta y</w:t>
      </w:r>
      <w:r w:rsidR="007B0C1A">
        <w:rPr>
          <w:rFonts w:ascii="Century Gothic" w:hAnsi="Century Gothic"/>
          <w:b/>
          <w:lang w:val="es-MX"/>
        </w:rPr>
        <w:t xml:space="preserve"> d</w:t>
      </w:r>
      <w:r w:rsidR="00680959">
        <w:rPr>
          <w:rFonts w:ascii="Century Gothic" w:hAnsi="Century Gothic"/>
          <w:b/>
          <w:lang w:val="es-MX"/>
        </w:rPr>
        <w:t>os mil ochocientos veinte pesos 72</w:t>
      </w:r>
      <w:r w:rsidR="009D2869" w:rsidRPr="0050035B">
        <w:rPr>
          <w:rFonts w:ascii="Century Gothic" w:hAnsi="Century Gothic"/>
          <w:b/>
          <w:lang w:val="es-MX"/>
        </w:rPr>
        <w:t>/100 Moneda Nacional)</w:t>
      </w:r>
      <w:r w:rsidR="004A4E4C" w:rsidRPr="0050035B">
        <w:rPr>
          <w:rFonts w:ascii="Century Gothic" w:hAnsi="Century Gothic"/>
          <w:b/>
          <w:lang w:val="es-MX"/>
        </w:rPr>
        <w:t xml:space="preserve"> </w:t>
      </w:r>
      <w:r w:rsidR="006501D9" w:rsidRPr="0050035B">
        <w:rPr>
          <w:rFonts w:ascii="Century Gothic" w:hAnsi="Century Gothic"/>
          <w:lang w:val="es-MX"/>
        </w:rPr>
        <w:t xml:space="preserve">se esperan percibir por concepto de cobro de </w:t>
      </w:r>
      <w:r w:rsidR="006501D9" w:rsidRPr="0050035B">
        <w:rPr>
          <w:rFonts w:ascii="Century Gothic" w:hAnsi="Century Gothic"/>
          <w:b/>
          <w:lang w:val="es-MX"/>
        </w:rPr>
        <w:t xml:space="preserve">Accesorios </w:t>
      </w:r>
      <w:r w:rsidR="006501D9" w:rsidRPr="0050035B">
        <w:rPr>
          <w:rFonts w:ascii="Century Gothic" w:hAnsi="Century Gothic"/>
          <w:lang w:val="es-MX"/>
        </w:rPr>
        <w:t xml:space="preserve">de los impuestos </w:t>
      </w:r>
      <w:r w:rsidR="004A4E4C" w:rsidRPr="0050035B">
        <w:rPr>
          <w:rFonts w:ascii="Century Gothic" w:hAnsi="Century Gothic"/>
          <w:lang w:val="es-MX"/>
        </w:rPr>
        <w:t xml:space="preserve">e </w:t>
      </w:r>
      <w:r w:rsidR="00D702E1" w:rsidRPr="0050035B">
        <w:rPr>
          <w:rFonts w:ascii="Century Gothic" w:hAnsi="Century Gothic"/>
          <w:lang w:val="es-MX"/>
        </w:rPr>
        <w:t>impuestos</w:t>
      </w:r>
      <w:r w:rsidR="004A4E4C" w:rsidRPr="0050035B">
        <w:rPr>
          <w:rFonts w:ascii="Century Gothic" w:hAnsi="Century Gothic"/>
          <w:lang w:val="es-MX"/>
        </w:rPr>
        <w:t xml:space="preserve"> sobre los </w:t>
      </w:r>
      <w:r w:rsidR="00D702E1" w:rsidRPr="0050035B">
        <w:rPr>
          <w:rFonts w:ascii="Century Gothic" w:hAnsi="Century Gothic"/>
          <w:lang w:val="es-MX"/>
        </w:rPr>
        <w:t>ingresos</w:t>
      </w:r>
      <w:r w:rsidR="004A4E4C" w:rsidRPr="0050035B">
        <w:rPr>
          <w:rFonts w:ascii="Century Gothic" w:hAnsi="Century Gothic"/>
          <w:lang w:val="es-MX"/>
        </w:rPr>
        <w:t xml:space="preserve"> y en conjunto</w:t>
      </w:r>
      <w:r w:rsidR="006501D9" w:rsidRPr="0050035B">
        <w:rPr>
          <w:rFonts w:ascii="Century Gothic" w:hAnsi="Century Gothic"/>
          <w:lang w:val="es-MX"/>
        </w:rPr>
        <w:t xml:space="preserve"> representan el </w:t>
      </w:r>
      <w:r w:rsidR="00680959">
        <w:rPr>
          <w:rFonts w:ascii="Century Gothic" w:hAnsi="Century Gothic"/>
          <w:lang w:val="es-MX"/>
        </w:rPr>
        <w:t>2.07</w:t>
      </w:r>
      <w:r w:rsidR="006501D9" w:rsidRPr="0050035B">
        <w:rPr>
          <w:rFonts w:ascii="Century Gothic" w:hAnsi="Century Gothic"/>
          <w:lang w:val="es-MX"/>
        </w:rPr>
        <w:t>%</w:t>
      </w:r>
      <w:r w:rsidR="00E251F5">
        <w:rPr>
          <w:rFonts w:ascii="Century Gothic" w:hAnsi="Century Gothic"/>
          <w:lang w:val="es-MX"/>
        </w:rPr>
        <w:t xml:space="preserve"> respecto al rubro de impuestos</w:t>
      </w:r>
      <w:r w:rsidR="009D2869" w:rsidRPr="0050035B">
        <w:rPr>
          <w:rFonts w:ascii="Century Gothic" w:hAnsi="Century Gothic"/>
          <w:lang w:val="es-MX"/>
        </w:rPr>
        <w:t>.</w:t>
      </w:r>
    </w:p>
    <w:p w:rsidR="0024110C" w:rsidRDefault="0024110C" w:rsidP="006501D9">
      <w:pPr>
        <w:jc w:val="center"/>
        <w:rPr>
          <w:rFonts w:ascii="Century Gothic" w:hAnsi="Century Gothic"/>
          <w:b/>
          <w:sz w:val="22"/>
          <w:szCs w:val="22"/>
          <w:lang w:val="es-MX"/>
        </w:rPr>
      </w:pPr>
    </w:p>
    <w:p w:rsidR="008D7D5A" w:rsidRDefault="008D7D5A" w:rsidP="006501D9">
      <w:pPr>
        <w:jc w:val="center"/>
        <w:rPr>
          <w:rFonts w:ascii="Century Gothic" w:hAnsi="Century Gothic"/>
          <w:b/>
          <w:sz w:val="22"/>
          <w:szCs w:val="22"/>
          <w:lang w:val="es-MX"/>
        </w:rPr>
      </w:pPr>
    </w:p>
    <w:p w:rsidR="008D7D5A" w:rsidRDefault="008D7D5A" w:rsidP="006501D9">
      <w:pPr>
        <w:jc w:val="center"/>
        <w:rPr>
          <w:rFonts w:ascii="Century Gothic" w:hAnsi="Century Gothic"/>
          <w:b/>
          <w:sz w:val="22"/>
          <w:szCs w:val="22"/>
          <w:lang w:val="es-MX"/>
        </w:rPr>
      </w:pPr>
    </w:p>
    <w:p w:rsidR="008D7D5A" w:rsidRDefault="008D7D5A" w:rsidP="006501D9">
      <w:pPr>
        <w:jc w:val="center"/>
        <w:rPr>
          <w:rFonts w:ascii="Century Gothic" w:hAnsi="Century Gothic"/>
          <w:b/>
          <w:sz w:val="22"/>
          <w:szCs w:val="22"/>
          <w:lang w:val="es-MX"/>
        </w:rPr>
      </w:pPr>
    </w:p>
    <w:p w:rsidR="007B0C1A" w:rsidRDefault="007B0C1A" w:rsidP="006501D9">
      <w:pPr>
        <w:jc w:val="center"/>
        <w:rPr>
          <w:rFonts w:ascii="Century Gothic" w:hAnsi="Century Gothic"/>
          <w:b/>
          <w:sz w:val="22"/>
          <w:szCs w:val="22"/>
          <w:lang w:val="es-MX"/>
        </w:rPr>
      </w:pPr>
    </w:p>
    <w:p w:rsidR="007B0C1A" w:rsidRDefault="007B0C1A" w:rsidP="006501D9">
      <w:pPr>
        <w:jc w:val="center"/>
        <w:rPr>
          <w:rFonts w:ascii="Century Gothic" w:hAnsi="Century Gothic"/>
          <w:b/>
          <w:sz w:val="22"/>
          <w:szCs w:val="22"/>
          <w:lang w:val="es-MX"/>
        </w:rPr>
      </w:pPr>
    </w:p>
    <w:p w:rsidR="007B0C1A" w:rsidRDefault="007B0C1A" w:rsidP="006501D9">
      <w:pPr>
        <w:jc w:val="center"/>
        <w:rPr>
          <w:rFonts w:ascii="Century Gothic" w:hAnsi="Century Gothic"/>
          <w:b/>
          <w:sz w:val="22"/>
          <w:szCs w:val="22"/>
          <w:lang w:val="es-MX"/>
        </w:rPr>
      </w:pPr>
    </w:p>
    <w:p w:rsidR="008D7D5A" w:rsidRDefault="008D7D5A" w:rsidP="006501D9">
      <w:pPr>
        <w:jc w:val="center"/>
        <w:rPr>
          <w:rFonts w:ascii="Century Gothic" w:hAnsi="Century Gothic"/>
          <w:b/>
          <w:sz w:val="22"/>
          <w:szCs w:val="22"/>
          <w:lang w:val="es-MX"/>
        </w:rPr>
      </w:pPr>
    </w:p>
    <w:p w:rsidR="00F77640" w:rsidRPr="0050035B" w:rsidRDefault="00734847" w:rsidP="006501D9">
      <w:pPr>
        <w:jc w:val="center"/>
        <w:rPr>
          <w:rFonts w:ascii="Century Gothic" w:hAnsi="Century Gothic"/>
          <w:sz w:val="22"/>
          <w:szCs w:val="22"/>
          <w:lang w:val="es-MX"/>
        </w:rPr>
      </w:pPr>
      <w:r w:rsidRPr="0050035B">
        <w:rPr>
          <w:rFonts w:ascii="Century Gothic" w:hAnsi="Century Gothic"/>
          <w:b/>
          <w:sz w:val="22"/>
          <w:szCs w:val="22"/>
          <w:lang w:val="es-MX"/>
        </w:rPr>
        <w:lastRenderedPageBreak/>
        <w:t>Tabla 4.4</w:t>
      </w:r>
      <w:r w:rsidR="005267A7" w:rsidRPr="0050035B">
        <w:rPr>
          <w:rFonts w:ascii="Century Gothic" w:hAnsi="Century Gothic"/>
          <w:b/>
          <w:sz w:val="22"/>
          <w:szCs w:val="22"/>
          <w:lang w:val="es-MX"/>
        </w:rPr>
        <w:t>.</w:t>
      </w:r>
      <w:r w:rsidR="00AA2AAD" w:rsidRPr="0050035B">
        <w:rPr>
          <w:rFonts w:ascii="Century Gothic" w:hAnsi="Century Gothic"/>
          <w:b/>
          <w:sz w:val="22"/>
          <w:szCs w:val="22"/>
          <w:lang w:val="es-MX"/>
        </w:rPr>
        <w:t xml:space="preserve"> </w:t>
      </w:r>
      <w:r w:rsidR="00F77640" w:rsidRPr="0050035B">
        <w:rPr>
          <w:rFonts w:ascii="Century Gothic" w:hAnsi="Century Gothic"/>
          <w:sz w:val="22"/>
          <w:szCs w:val="22"/>
          <w:lang w:val="es-MX"/>
        </w:rPr>
        <w:t xml:space="preserve">Comparativa de ingresos presupuestados por concepto de </w:t>
      </w:r>
      <w:r w:rsidR="009E685A" w:rsidRPr="0050035B">
        <w:rPr>
          <w:rFonts w:ascii="Century Gothic" w:hAnsi="Century Gothic"/>
          <w:sz w:val="22"/>
          <w:szCs w:val="22"/>
          <w:lang w:val="es-MX"/>
        </w:rPr>
        <w:t>Impuestos</w:t>
      </w:r>
      <w:r w:rsidR="006501D9" w:rsidRPr="0050035B">
        <w:rPr>
          <w:rFonts w:ascii="Century Gothic" w:hAnsi="Century Gothic"/>
          <w:sz w:val="22"/>
          <w:szCs w:val="22"/>
          <w:lang w:val="es-MX"/>
        </w:rPr>
        <w:t>, por tipo de impuesto</w:t>
      </w:r>
      <w:r w:rsidR="007A2464" w:rsidRPr="0050035B">
        <w:rPr>
          <w:rFonts w:ascii="Century Gothic" w:hAnsi="Century Gothic"/>
          <w:sz w:val="22"/>
          <w:szCs w:val="22"/>
          <w:lang w:val="es-MX"/>
        </w:rPr>
        <w:t xml:space="preserve"> (20</w:t>
      </w:r>
      <w:r w:rsidR="00680959">
        <w:rPr>
          <w:rFonts w:ascii="Century Gothic" w:hAnsi="Century Gothic"/>
          <w:sz w:val="22"/>
          <w:szCs w:val="22"/>
          <w:lang w:val="es-MX"/>
        </w:rPr>
        <w:t>20</w:t>
      </w:r>
      <w:r w:rsidR="008F6AF2" w:rsidRPr="0050035B">
        <w:rPr>
          <w:rFonts w:ascii="Century Gothic" w:hAnsi="Century Gothic"/>
          <w:sz w:val="22"/>
          <w:szCs w:val="22"/>
          <w:lang w:val="es-MX"/>
        </w:rPr>
        <w:t>– 202</w:t>
      </w:r>
      <w:r w:rsidR="00680959">
        <w:rPr>
          <w:rFonts w:ascii="Century Gothic" w:hAnsi="Century Gothic"/>
          <w:sz w:val="22"/>
          <w:szCs w:val="22"/>
          <w:lang w:val="es-MX"/>
        </w:rPr>
        <w:t>2</w:t>
      </w:r>
      <w:r w:rsidR="005B2134" w:rsidRPr="0050035B">
        <w:rPr>
          <w:rFonts w:ascii="Century Gothic" w:hAnsi="Century Gothic"/>
          <w:sz w:val="22"/>
          <w:szCs w:val="22"/>
          <w:lang w:val="es-MX"/>
        </w:rPr>
        <w:t>)</w:t>
      </w:r>
    </w:p>
    <w:p w:rsidR="005B2134" w:rsidRPr="0050035B" w:rsidRDefault="005B2134" w:rsidP="006501D9">
      <w:pPr>
        <w:jc w:val="center"/>
        <w:rPr>
          <w:rFonts w:ascii="Century Gothic" w:hAnsi="Century Gothic"/>
          <w:sz w:val="22"/>
          <w:szCs w:val="22"/>
          <w:lang w:val="es-MX"/>
        </w:rPr>
      </w:pPr>
    </w:p>
    <w:tbl>
      <w:tblPr>
        <w:tblW w:w="8789" w:type="dxa"/>
        <w:tblInd w:w="-10" w:type="dxa"/>
        <w:tblLayout w:type="fixed"/>
        <w:tblCellMar>
          <w:left w:w="70" w:type="dxa"/>
          <w:right w:w="70" w:type="dxa"/>
        </w:tblCellMar>
        <w:tblLook w:val="04A0" w:firstRow="1" w:lastRow="0" w:firstColumn="1" w:lastColumn="0" w:noHBand="0" w:noVBand="1"/>
      </w:tblPr>
      <w:tblGrid>
        <w:gridCol w:w="2331"/>
        <w:gridCol w:w="1780"/>
        <w:gridCol w:w="1701"/>
        <w:gridCol w:w="1701"/>
        <w:gridCol w:w="1276"/>
      </w:tblGrid>
      <w:tr w:rsidR="00846DE2" w:rsidRPr="0050035B" w:rsidTr="00E44364">
        <w:trPr>
          <w:trHeight w:val="705"/>
        </w:trPr>
        <w:tc>
          <w:tcPr>
            <w:tcW w:w="2331" w:type="dxa"/>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846DE2" w:rsidRPr="005D6A38" w:rsidRDefault="00846DE2" w:rsidP="00846DE2">
            <w:pPr>
              <w:jc w:val="center"/>
              <w:rPr>
                <w:rFonts w:ascii="Century Gothic" w:eastAsia="Times New Roman" w:hAnsi="Century Gothic" w:cs="Arial"/>
                <w:b/>
                <w:color w:val="000000" w:themeColor="text1"/>
                <w:sz w:val="18"/>
                <w:szCs w:val="16"/>
                <w:lang w:val="es-MX" w:eastAsia="es-MX"/>
              </w:rPr>
            </w:pPr>
            <w:r w:rsidRPr="005D6A38">
              <w:rPr>
                <w:rFonts w:ascii="Century Gothic" w:eastAsia="Times New Roman" w:hAnsi="Century Gothic" w:cs="Arial"/>
                <w:b/>
                <w:color w:val="000000" w:themeColor="text1"/>
                <w:sz w:val="18"/>
                <w:szCs w:val="16"/>
                <w:lang w:val="es-MX" w:eastAsia="es-MX"/>
              </w:rPr>
              <w:t>CONCEPTO</w:t>
            </w:r>
          </w:p>
        </w:tc>
        <w:tc>
          <w:tcPr>
            <w:tcW w:w="1780" w:type="dxa"/>
            <w:tcBorders>
              <w:top w:val="single" w:sz="8" w:space="0" w:color="auto"/>
              <w:left w:val="nil"/>
              <w:bottom w:val="single" w:sz="4" w:space="0" w:color="auto"/>
              <w:right w:val="single" w:sz="8" w:space="0" w:color="auto"/>
            </w:tcBorders>
            <w:shd w:val="clear" w:color="auto" w:fill="FABF8F" w:themeFill="accent6" w:themeFillTint="99"/>
            <w:vAlign w:val="center"/>
            <w:hideMark/>
          </w:tcPr>
          <w:p w:rsidR="00846DE2" w:rsidRPr="005D6A38" w:rsidRDefault="00846DE2" w:rsidP="00680959">
            <w:pPr>
              <w:jc w:val="center"/>
              <w:rPr>
                <w:rFonts w:ascii="Century Gothic" w:eastAsia="Times New Roman" w:hAnsi="Century Gothic" w:cs="Arial"/>
                <w:b/>
                <w:color w:val="000000" w:themeColor="text1"/>
                <w:sz w:val="18"/>
                <w:szCs w:val="16"/>
                <w:lang w:val="es-MX" w:eastAsia="es-MX"/>
              </w:rPr>
            </w:pPr>
            <w:r w:rsidRPr="005D6A38">
              <w:rPr>
                <w:rFonts w:ascii="Century Gothic" w:eastAsia="Times New Roman" w:hAnsi="Century Gothic" w:cs="Arial"/>
                <w:b/>
                <w:color w:val="000000" w:themeColor="text1"/>
                <w:sz w:val="18"/>
                <w:szCs w:val="16"/>
                <w:lang w:val="es-MX" w:eastAsia="es-MX"/>
              </w:rPr>
              <w:t>Presupuesto aprobado 20</w:t>
            </w:r>
            <w:r w:rsidR="00680959" w:rsidRPr="005D6A38">
              <w:rPr>
                <w:rFonts w:ascii="Century Gothic" w:eastAsia="Times New Roman" w:hAnsi="Century Gothic" w:cs="Arial"/>
                <w:b/>
                <w:color w:val="000000" w:themeColor="text1"/>
                <w:sz w:val="18"/>
                <w:szCs w:val="16"/>
                <w:lang w:val="es-MX" w:eastAsia="es-MX"/>
              </w:rPr>
              <w:t>20</w:t>
            </w:r>
          </w:p>
        </w:tc>
        <w:tc>
          <w:tcPr>
            <w:tcW w:w="1701" w:type="dxa"/>
            <w:tcBorders>
              <w:top w:val="single" w:sz="8" w:space="0" w:color="auto"/>
              <w:left w:val="nil"/>
              <w:bottom w:val="single" w:sz="4" w:space="0" w:color="auto"/>
              <w:right w:val="single" w:sz="4" w:space="0" w:color="auto"/>
            </w:tcBorders>
            <w:shd w:val="clear" w:color="auto" w:fill="FABF8F" w:themeFill="accent6" w:themeFillTint="99"/>
            <w:vAlign w:val="center"/>
          </w:tcPr>
          <w:p w:rsidR="00846DE2" w:rsidRPr="005D6A38" w:rsidRDefault="00846DE2" w:rsidP="00680959">
            <w:pPr>
              <w:jc w:val="center"/>
              <w:rPr>
                <w:rFonts w:ascii="Century Gothic" w:eastAsia="Times New Roman" w:hAnsi="Century Gothic" w:cs="Arial"/>
                <w:b/>
                <w:color w:val="000000" w:themeColor="text1"/>
                <w:sz w:val="18"/>
                <w:szCs w:val="16"/>
                <w:lang w:val="es-MX" w:eastAsia="es-MX"/>
              </w:rPr>
            </w:pPr>
            <w:r w:rsidRPr="005D6A38">
              <w:rPr>
                <w:rFonts w:ascii="Century Gothic" w:eastAsia="Times New Roman" w:hAnsi="Century Gothic" w:cs="Arial"/>
                <w:b/>
                <w:color w:val="000000" w:themeColor="text1"/>
                <w:sz w:val="18"/>
                <w:szCs w:val="16"/>
                <w:lang w:val="es-MX" w:eastAsia="es-MX"/>
              </w:rPr>
              <w:t>Presupuesto aprobado 202</w:t>
            </w:r>
            <w:r w:rsidR="00680959" w:rsidRPr="005D6A38">
              <w:rPr>
                <w:rFonts w:ascii="Century Gothic" w:eastAsia="Times New Roman" w:hAnsi="Century Gothic" w:cs="Arial"/>
                <w:b/>
                <w:color w:val="000000" w:themeColor="text1"/>
                <w:sz w:val="18"/>
                <w:szCs w:val="16"/>
                <w:lang w:val="es-MX" w:eastAsia="es-MX"/>
              </w:rPr>
              <w:t>1</w:t>
            </w:r>
          </w:p>
        </w:tc>
        <w:tc>
          <w:tcPr>
            <w:tcW w:w="170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846DE2" w:rsidRPr="005D6A38" w:rsidRDefault="00846DE2" w:rsidP="00680959">
            <w:pPr>
              <w:jc w:val="center"/>
              <w:rPr>
                <w:rFonts w:ascii="Century Gothic" w:eastAsia="Times New Roman" w:hAnsi="Century Gothic" w:cs="Arial"/>
                <w:b/>
                <w:color w:val="000000" w:themeColor="text1"/>
                <w:sz w:val="18"/>
                <w:szCs w:val="16"/>
                <w:lang w:val="es-MX" w:eastAsia="es-MX"/>
              </w:rPr>
            </w:pPr>
            <w:r w:rsidRPr="00E44364">
              <w:rPr>
                <w:rFonts w:ascii="Century Gothic" w:eastAsia="Times New Roman" w:hAnsi="Century Gothic" w:cs="Arial"/>
                <w:b/>
                <w:color w:val="000000" w:themeColor="text1"/>
                <w:sz w:val="18"/>
                <w:szCs w:val="16"/>
                <w:lang w:val="es-MX" w:eastAsia="es-MX"/>
              </w:rPr>
              <w:t>Proyecto de Presupuesto 202</w:t>
            </w:r>
            <w:r w:rsidR="00680959" w:rsidRPr="00E44364">
              <w:rPr>
                <w:rFonts w:ascii="Century Gothic" w:eastAsia="Times New Roman" w:hAnsi="Century Gothic" w:cs="Arial"/>
                <w:b/>
                <w:color w:val="000000" w:themeColor="text1"/>
                <w:sz w:val="18"/>
                <w:szCs w:val="16"/>
                <w:lang w:val="es-MX" w:eastAsia="es-MX"/>
              </w:rPr>
              <w:t>2</w:t>
            </w:r>
          </w:p>
        </w:tc>
        <w:tc>
          <w:tcPr>
            <w:tcW w:w="1276" w:type="dxa"/>
            <w:tcBorders>
              <w:top w:val="single" w:sz="8" w:space="0" w:color="auto"/>
              <w:left w:val="single" w:sz="4" w:space="0" w:color="auto"/>
              <w:bottom w:val="single" w:sz="4" w:space="0" w:color="auto"/>
              <w:right w:val="single" w:sz="8" w:space="0" w:color="auto"/>
            </w:tcBorders>
            <w:shd w:val="clear" w:color="auto" w:fill="FABF8F" w:themeFill="accent6" w:themeFillTint="99"/>
            <w:vAlign w:val="center"/>
          </w:tcPr>
          <w:p w:rsidR="00846DE2" w:rsidRPr="005D6A38" w:rsidRDefault="00846DE2" w:rsidP="00680959">
            <w:pPr>
              <w:jc w:val="center"/>
              <w:rPr>
                <w:rFonts w:ascii="Century Gothic" w:eastAsia="Times New Roman" w:hAnsi="Century Gothic" w:cs="Arial"/>
                <w:b/>
                <w:color w:val="000000" w:themeColor="text1"/>
                <w:sz w:val="18"/>
                <w:szCs w:val="16"/>
                <w:lang w:val="es-MX" w:eastAsia="es-MX"/>
              </w:rPr>
            </w:pPr>
            <w:r w:rsidRPr="005D6A38">
              <w:rPr>
                <w:rFonts w:ascii="Century Gothic" w:eastAsia="Times New Roman" w:hAnsi="Century Gothic" w:cs="Arial"/>
                <w:b/>
                <w:color w:val="000000" w:themeColor="text1"/>
                <w:sz w:val="18"/>
                <w:szCs w:val="16"/>
                <w:lang w:val="es-MX" w:eastAsia="es-MX"/>
              </w:rPr>
              <w:t>Tasa de Crecimiento (TdC) 202</w:t>
            </w:r>
            <w:r w:rsidR="00680959" w:rsidRPr="005D6A38">
              <w:rPr>
                <w:rFonts w:ascii="Century Gothic" w:eastAsia="Times New Roman" w:hAnsi="Century Gothic" w:cs="Arial"/>
                <w:b/>
                <w:color w:val="000000" w:themeColor="text1"/>
                <w:sz w:val="18"/>
                <w:szCs w:val="16"/>
                <w:lang w:val="es-MX" w:eastAsia="es-MX"/>
              </w:rPr>
              <w:t xml:space="preserve">2 </w:t>
            </w:r>
            <w:r w:rsidRPr="005D6A38">
              <w:rPr>
                <w:rFonts w:ascii="Century Gothic" w:eastAsia="Times New Roman" w:hAnsi="Century Gothic" w:cs="Arial"/>
                <w:b/>
                <w:color w:val="000000" w:themeColor="text1"/>
                <w:sz w:val="18"/>
                <w:szCs w:val="16"/>
                <w:lang w:val="es-MX" w:eastAsia="es-MX"/>
              </w:rPr>
              <w:t>respecto 202</w:t>
            </w:r>
            <w:r w:rsidR="00680959" w:rsidRPr="005D6A38">
              <w:rPr>
                <w:rFonts w:ascii="Century Gothic" w:eastAsia="Times New Roman" w:hAnsi="Century Gothic" w:cs="Arial"/>
                <w:b/>
                <w:color w:val="000000" w:themeColor="text1"/>
                <w:sz w:val="18"/>
                <w:szCs w:val="16"/>
                <w:lang w:val="es-MX" w:eastAsia="es-MX"/>
              </w:rPr>
              <w:t>1</w:t>
            </w:r>
          </w:p>
        </w:tc>
      </w:tr>
      <w:tr w:rsidR="0015191A" w:rsidRPr="0050035B" w:rsidTr="004D77A1">
        <w:trPr>
          <w:trHeight w:val="548"/>
        </w:trPr>
        <w:tc>
          <w:tcPr>
            <w:tcW w:w="2331" w:type="dxa"/>
            <w:tcBorders>
              <w:top w:val="nil"/>
              <w:left w:val="single" w:sz="8" w:space="0" w:color="auto"/>
              <w:bottom w:val="single" w:sz="4" w:space="0" w:color="auto"/>
              <w:right w:val="single" w:sz="4" w:space="0" w:color="auto"/>
            </w:tcBorders>
            <w:shd w:val="clear" w:color="auto" w:fill="595959" w:themeFill="text1" w:themeFillTint="A6"/>
            <w:vAlign w:val="center"/>
            <w:hideMark/>
          </w:tcPr>
          <w:p w:rsidR="0015191A" w:rsidRPr="0050035B" w:rsidRDefault="0015191A" w:rsidP="0015191A">
            <w:pPr>
              <w:jc w:val="center"/>
              <w:rPr>
                <w:rFonts w:ascii="Century Gothic" w:eastAsia="Times New Roman" w:hAnsi="Century Gothic" w:cs="Arial"/>
                <w:b/>
                <w:color w:val="FFFFFF" w:themeColor="background1"/>
                <w:sz w:val="18"/>
                <w:szCs w:val="18"/>
                <w:lang w:val="es-MX" w:eastAsia="es-ES"/>
              </w:rPr>
            </w:pPr>
            <w:r w:rsidRPr="0050035B">
              <w:rPr>
                <w:rFonts w:ascii="Century Gothic" w:eastAsia="Times New Roman" w:hAnsi="Century Gothic" w:cs="Arial"/>
                <w:b/>
                <w:color w:val="FFFFFF" w:themeColor="background1"/>
                <w:sz w:val="18"/>
                <w:szCs w:val="18"/>
                <w:lang w:val="es-MX" w:eastAsia="es-ES"/>
              </w:rPr>
              <w:t xml:space="preserve">Impuestos sobre el patrimonio </w:t>
            </w:r>
          </w:p>
        </w:tc>
        <w:tc>
          <w:tcPr>
            <w:tcW w:w="1780" w:type="dxa"/>
            <w:tcBorders>
              <w:top w:val="nil"/>
              <w:left w:val="nil"/>
              <w:bottom w:val="single" w:sz="4" w:space="0" w:color="auto"/>
              <w:right w:val="single" w:sz="8" w:space="0" w:color="auto"/>
            </w:tcBorders>
            <w:shd w:val="clear" w:color="auto" w:fill="auto"/>
            <w:noWrap/>
            <w:vAlign w:val="center"/>
          </w:tcPr>
          <w:p w:rsidR="0015191A" w:rsidRPr="0050035B" w:rsidRDefault="0015191A" w:rsidP="0015191A">
            <w:pPr>
              <w:jc w:val="right"/>
              <w:rPr>
                <w:rFonts w:ascii="Century Gothic" w:eastAsia="Times New Roman" w:hAnsi="Century Gothic" w:cs="Arial"/>
                <w:strike/>
                <w:sz w:val="16"/>
                <w:szCs w:val="16"/>
                <w:highlight w:val="yellow"/>
                <w:lang w:val="es-MX" w:eastAsia="es-ES"/>
              </w:rPr>
            </w:pPr>
            <w:r>
              <w:rPr>
                <w:rFonts w:ascii="Century Gothic" w:hAnsi="Century Gothic" w:cs="Calibri"/>
                <w:color w:val="000000"/>
                <w:sz w:val="18"/>
                <w:szCs w:val="18"/>
              </w:rPr>
              <w:t>$1,941,873,098.43</w:t>
            </w:r>
          </w:p>
        </w:tc>
        <w:tc>
          <w:tcPr>
            <w:tcW w:w="1701" w:type="dxa"/>
            <w:tcBorders>
              <w:top w:val="nil"/>
              <w:left w:val="nil"/>
              <w:bottom w:val="single" w:sz="4" w:space="0" w:color="auto"/>
              <w:right w:val="single" w:sz="4" w:space="0" w:color="auto"/>
            </w:tcBorders>
            <w:vAlign w:val="center"/>
          </w:tcPr>
          <w:p w:rsidR="0015191A" w:rsidRPr="0050035B" w:rsidRDefault="0015191A" w:rsidP="0015191A">
            <w:pPr>
              <w:jc w:val="right"/>
              <w:rPr>
                <w:rFonts w:ascii="Century Gothic" w:eastAsia="Times New Roman" w:hAnsi="Century Gothic" w:cs="Arial"/>
                <w:strike/>
                <w:sz w:val="16"/>
                <w:szCs w:val="16"/>
                <w:highlight w:val="yellow"/>
                <w:lang w:val="es-MX" w:eastAsia="es-ES"/>
              </w:rPr>
            </w:pPr>
            <w:r>
              <w:rPr>
                <w:rFonts w:ascii="Century Gothic" w:hAnsi="Century Gothic" w:cs="Calibri"/>
                <w:color w:val="000000"/>
                <w:sz w:val="18"/>
                <w:szCs w:val="18"/>
              </w:rPr>
              <w:t>$1,941,873,098.43</w:t>
            </w:r>
          </w:p>
        </w:tc>
        <w:tc>
          <w:tcPr>
            <w:tcW w:w="1701" w:type="dxa"/>
            <w:tcBorders>
              <w:top w:val="single" w:sz="4" w:space="0" w:color="auto"/>
              <w:left w:val="single" w:sz="4" w:space="0" w:color="auto"/>
              <w:bottom w:val="single" w:sz="4" w:space="0" w:color="auto"/>
              <w:right w:val="single" w:sz="4" w:space="0" w:color="auto"/>
            </w:tcBorders>
            <w:vAlign w:val="center"/>
          </w:tcPr>
          <w:p w:rsidR="0015191A" w:rsidRPr="0050035B" w:rsidRDefault="0015191A" w:rsidP="0015191A">
            <w:pPr>
              <w:jc w:val="center"/>
              <w:rPr>
                <w:rFonts w:ascii="Century Gothic" w:eastAsia="Times New Roman" w:hAnsi="Century Gothic" w:cs="Arial"/>
                <w:strike/>
                <w:sz w:val="16"/>
                <w:szCs w:val="16"/>
                <w:highlight w:val="yellow"/>
                <w:lang w:val="es-MX" w:eastAsia="es-ES"/>
              </w:rPr>
            </w:pPr>
            <w:r>
              <w:rPr>
                <w:rFonts w:ascii="Century Gothic" w:hAnsi="Century Gothic" w:cs="Calibri"/>
                <w:color w:val="000000"/>
                <w:sz w:val="18"/>
                <w:szCs w:val="18"/>
              </w:rPr>
              <w:t>$2,234,588,116.86</w:t>
            </w:r>
          </w:p>
        </w:tc>
        <w:tc>
          <w:tcPr>
            <w:tcW w:w="1276" w:type="dxa"/>
            <w:tcBorders>
              <w:top w:val="nil"/>
              <w:left w:val="single" w:sz="4" w:space="0" w:color="auto"/>
              <w:bottom w:val="single" w:sz="4" w:space="0" w:color="auto"/>
              <w:right w:val="single" w:sz="8" w:space="0" w:color="auto"/>
            </w:tcBorders>
            <w:vAlign w:val="center"/>
          </w:tcPr>
          <w:p w:rsidR="0015191A" w:rsidRPr="0050035B" w:rsidRDefault="0015191A" w:rsidP="0015191A">
            <w:pPr>
              <w:jc w:val="center"/>
              <w:rPr>
                <w:rFonts w:ascii="Century Gothic" w:eastAsia="Times New Roman" w:hAnsi="Century Gothic" w:cs="Arial"/>
                <w:strike/>
                <w:sz w:val="16"/>
                <w:szCs w:val="16"/>
                <w:highlight w:val="yellow"/>
                <w:lang w:val="es-MX" w:eastAsia="es-ES"/>
              </w:rPr>
            </w:pPr>
            <w:r>
              <w:rPr>
                <w:rFonts w:ascii="Century Gothic" w:hAnsi="Century Gothic" w:cs="Calibri"/>
                <w:color w:val="000000"/>
                <w:sz w:val="18"/>
                <w:szCs w:val="18"/>
              </w:rPr>
              <w:t>15.07%</w:t>
            </w:r>
          </w:p>
        </w:tc>
      </w:tr>
      <w:tr w:rsidR="0015191A" w:rsidRPr="0050035B" w:rsidTr="004D77A1">
        <w:trPr>
          <w:trHeight w:val="352"/>
        </w:trPr>
        <w:tc>
          <w:tcPr>
            <w:tcW w:w="2331" w:type="dxa"/>
            <w:tcBorders>
              <w:top w:val="nil"/>
              <w:left w:val="single" w:sz="8" w:space="0" w:color="auto"/>
              <w:bottom w:val="single" w:sz="4" w:space="0" w:color="auto"/>
              <w:right w:val="single" w:sz="4" w:space="0" w:color="auto"/>
            </w:tcBorders>
            <w:shd w:val="clear" w:color="auto" w:fill="595959" w:themeFill="text1" w:themeFillTint="A6"/>
            <w:vAlign w:val="center"/>
            <w:hideMark/>
          </w:tcPr>
          <w:p w:rsidR="0015191A" w:rsidRPr="0050035B" w:rsidRDefault="0015191A" w:rsidP="0015191A">
            <w:pPr>
              <w:jc w:val="center"/>
              <w:rPr>
                <w:rFonts w:ascii="Century Gothic" w:eastAsia="Times New Roman" w:hAnsi="Century Gothic" w:cs="Arial"/>
                <w:b/>
                <w:color w:val="FFFFFF" w:themeColor="background1"/>
                <w:sz w:val="18"/>
                <w:szCs w:val="18"/>
                <w:lang w:val="es-MX" w:eastAsia="es-ES"/>
              </w:rPr>
            </w:pPr>
            <w:r w:rsidRPr="0050035B">
              <w:rPr>
                <w:rFonts w:ascii="Century Gothic" w:eastAsia="Times New Roman" w:hAnsi="Century Gothic" w:cs="Arial"/>
                <w:b/>
                <w:color w:val="FFFFFF" w:themeColor="background1"/>
                <w:sz w:val="18"/>
                <w:szCs w:val="18"/>
                <w:lang w:val="es-MX" w:eastAsia="es-ES"/>
              </w:rPr>
              <w:t>Impuestos sobre los Ingresos</w:t>
            </w:r>
          </w:p>
        </w:tc>
        <w:tc>
          <w:tcPr>
            <w:tcW w:w="1780" w:type="dxa"/>
            <w:tcBorders>
              <w:top w:val="nil"/>
              <w:left w:val="nil"/>
              <w:bottom w:val="single" w:sz="4" w:space="0" w:color="auto"/>
              <w:right w:val="single" w:sz="8" w:space="0" w:color="auto"/>
            </w:tcBorders>
            <w:shd w:val="clear" w:color="auto" w:fill="auto"/>
            <w:noWrap/>
            <w:vAlign w:val="center"/>
          </w:tcPr>
          <w:p w:rsidR="0015191A" w:rsidRPr="0050035B" w:rsidRDefault="0015191A" w:rsidP="0015191A">
            <w:pPr>
              <w:jc w:val="right"/>
              <w:rPr>
                <w:rFonts w:ascii="Century Gothic" w:eastAsia="Times New Roman" w:hAnsi="Century Gothic" w:cs="Arial"/>
                <w:strike/>
                <w:sz w:val="16"/>
                <w:szCs w:val="16"/>
                <w:highlight w:val="yellow"/>
                <w:lang w:val="es-MX" w:eastAsia="es-ES"/>
              </w:rPr>
            </w:pPr>
            <w:r>
              <w:rPr>
                <w:rFonts w:ascii="Century Gothic" w:hAnsi="Century Gothic" w:cs="Calibri"/>
                <w:color w:val="000000"/>
                <w:sz w:val="18"/>
                <w:szCs w:val="18"/>
              </w:rPr>
              <w:t>$30,331,919.45</w:t>
            </w:r>
          </w:p>
        </w:tc>
        <w:tc>
          <w:tcPr>
            <w:tcW w:w="1701" w:type="dxa"/>
            <w:tcBorders>
              <w:top w:val="nil"/>
              <w:left w:val="nil"/>
              <w:bottom w:val="single" w:sz="4" w:space="0" w:color="auto"/>
              <w:right w:val="single" w:sz="4" w:space="0" w:color="auto"/>
            </w:tcBorders>
            <w:vAlign w:val="center"/>
          </w:tcPr>
          <w:p w:rsidR="0015191A" w:rsidRPr="0050035B" w:rsidRDefault="0015191A" w:rsidP="0015191A">
            <w:pPr>
              <w:jc w:val="right"/>
              <w:rPr>
                <w:rFonts w:ascii="Century Gothic" w:eastAsia="Times New Roman" w:hAnsi="Century Gothic" w:cs="Arial"/>
                <w:strike/>
                <w:sz w:val="16"/>
                <w:szCs w:val="16"/>
                <w:highlight w:val="yellow"/>
                <w:lang w:val="es-MX" w:eastAsia="es-ES"/>
              </w:rPr>
            </w:pPr>
            <w:r>
              <w:rPr>
                <w:rFonts w:ascii="Century Gothic" w:hAnsi="Century Gothic" w:cs="Calibri"/>
                <w:color w:val="000000"/>
                <w:sz w:val="18"/>
                <w:szCs w:val="18"/>
              </w:rPr>
              <w:t>$9,321,352.87</w:t>
            </w:r>
          </w:p>
        </w:tc>
        <w:tc>
          <w:tcPr>
            <w:tcW w:w="1701" w:type="dxa"/>
            <w:tcBorders>
              <w:top w:val="single" w:sz="4" w:space="0" w:color="auto"/>
              <w:left w:val="single" w:sz="4" w:space="0" w:color="auto"/>
              <w:bottom w:val="single" w:sz="4" w:space="0" w:color="auto"/>
              <w:right w:val="single" w:sz="4" w:space="0" w:color="auto"/>
            </w:tcBorders>
            <w:vAlign w:val="center"/>
          </w:tcPr>
          <w:p w:rsidR="0015191A" w:rsidRPr="0050035B" w:rsidRDefault="0015191A" w:rsidP="0015191A">
            <w:pPr>
              <w:jc w:val="center"/>
              <w:rPr>
                <w:rFonts w:ascii="Century Gothic" w:eastAsia="Times New Roman" w:hAnsi="Century Gothic" w:cs="Arial"/>
                <w:strike/>
                <w:sz w:val="16"/>
                <w:szCs w:val="16"/>
                <w:highlight w:val="yellow"/>
                <w:lang w:val="es-MX" w:eastAsia="es-ES"/>
              </w:rPr>
            </w:pPr>
            <w:r>
              <w:rPr>
                <w:rFonts w:ascii="Century Gothic" w:hAnsi="Century Gothic" w:cs="Calibri"/>
                <w:color w:val="000000"/>
                <w:sz w:val="18"/>
                <w:szCs w:val="18"/>
              </w:rPr>
              <w:t>$16,307,605.01</w:t>
            </w:r>
          </w:p>
        </w:tc>
        <w:tc>
          <w:tcPr>
            <w:tcW w:w="1276" w:type="dxa"/>
            <w:tcBorders>
              <w:top w:val="nil"/>
              <w:left w:val="single" w:sz="4" w:space="0" w:color="auto"/>
              <w:bottom w:val="single" w:sz="4" w:space="0" w:color="auto"/>
              <w:right w:val="single" w:sz="8" w:space="0" w:color="auto"/>
            </w:tcBorders>
            <w:vAlign w:val="center"/>
          </w:tcPr>
          <w:p w:rsidR="0015191A" w:rsidRPr="0050035B" w:rsidRDefault="0015191A" w:rsidP="0015191A">
            <w:pPr>
              <w:jc w:val="center"/>
              <w:rPr>
                <w:rFonts w:ascii="Century Gothic" w:eastAsia="Times New Roman" w:hAnsi="Century Gothic" w:cs="Arial"/>
                <w:strike/>
                <w:sz w:val="16"/>
                <w:szCs w:val="16"/>
                <w:highlight w:val="yellow"/>
                <w:lang w:val="es-MX" w:eastAsia="es-ES"/>
              </w:rPr>
            </w:pPr>
            <w:r>
              <w:rPr>
                <w:rFonts w:ascii="Century Gothic" w:hAnsi="Century Gothic" w:cs="Calibri"/>
                <w:color w:val="000000"/>
                <w:sz w:val="18"/>
                <w:szCs w:val="18"/>
              </w:rPr>
              <w:t>74.95%</w:t>
            </w:r>
          </w:p>
        </w:tc>
      </w:tr>
      <w:tr w:rsidR="0015191A" w:rsidRPr="0050035B" w:rsidTr="004D77A1">
        <w:trPr>
          <w:trHeight w:val="374"/>
        </w:trPr>
        <w:tc>
          <w:tcPr>
            <w:tcW w:w="2331" w:type="dxa"/>
            <w:tcBorders>
              <w:top w:val="nil"/>
              <w:left w:val="single" w:sz="8" w:space="0" w:color="auto"/>
              <w:bottom w:val="single" w:sz="4" w:space="0" w:color="auto"/>
              <w:right w:val="single" w:sz="4" w:space="0" w:color="auto"/>
            </w:tcBorders>
            <w:shd w:val="clear" w:color="auto" w:fill="595959" w:themeFill="text1" w:themeFillTint="A6"/>
            <w:vAlign w:val="center"/>
            <w:hideMark/>
          </w:tcPr>
          <w:p w:rsidR="0015191A" w:rsidRPr="0050035B" w:rsidRDefault="0015191A" w:rsidP="0015191A">
            <w:pPr>
              <w:jc w:val="center"/>
              <w:rPr>
                <w:rFonts w:ascii="Century Gothic" w:eastAsia="Times New Roman" w:hAnsi="Century Gothic" w:cs="Arial"/>
                <w:b/>
                <w:color w:val="FFFFFF" w:themeColor="background1"/>
                <w:sz w:val="18"/>
                <w:szCs w:val="18"/>
                <w:lang w:val="es-MX" w:eastAsia="es-ES"/>
              </w:rPr>
            </w:pPr>
            <w:r w:rsidRPr="0050035B">
              <w:rPr>
                <w:rFonts w:ascii="Century Gothic" w:eastAsia="Times New Roman" w:hAnsi="Century Gothic" w:cs="Arial"/>
                <w:b/>
                <w:color w:val="FFFFFF" w:themeColor="background1"/>
                <w:sz w:val="18"/>
                <w:szCs w:val="18"/>
                <w:lang w:val="es-MX" w:eastAsia="es-ES"/>
              </w:rPr>
              <w:t>Accesorios de Impuestos</w:t>
            </w:r>
          </w:p>
        </w:tc>
        <w:tc>
          <w:tcPr>
            <w:tcW w:w="1780" w:type="dxa"/>
            <w:tcBorders>
              <w:top w:val="nil"/>
              <w:left w:val="nil"/>
              <w:bottom w:val="single" w:sz="4" w:space="0" w:color="auto"/>
              <w:right w:val="single" w:sz="8" w:space="0" w:color="auto"/>
            </w:tcBorders>
            <w:shd w:val="clear" w:color="auto" w:fill="auto"/>
            <w:noWrap/>
            <w:vAlign w:val="center"/>
          </w:tcPr>
          <w:p w:rsidR="0015191A" w:rsidRPr="0050035B" w:rsidRDefault="0015191A" w:rsidP="0015191A">
            <w:pPr>
              <w:jc w:val="right"/>
              <w:rPr>
                <w:rFonts w:ascii="Century Gothic" w:eastAsia="Times New Roman" w:hAnsi="Century Gothic" w:cs="Arial"/>
                <w:strike/>
                <w:sz w:val="16"/>
                <w:szCs w:val="16"/>
                <w:highlight w:val="yellow"/>
                <w:lang w:val="es-MX" w:eastAsia="es-ES"/>
              </w:rPr>
            </w:pPr>
            <w:r>
              <w:rPr>
                <w:rFonts w:ascii="Century Gothic" w:hAnsi="Century Gothic" w:cs="Calibri"/>
                <w:color w:val="000000"/>
                <w:sz w:val="18"/>
                <w:szCs w:val="18"/>
              </w:rPr>
              <w:t>$30,875,215.71</w:t>
            </w:r>
          </w:p>
        </w:tc>
        <w:tc>
          <w:tcPr>
            <w:tcW w:w="1701" w:type="dxa"/>
            <w:tcBorders>
              <w:top w:val="nil"/>
              <w:left w:val="nil"/>
              <w:bottom w:val="single" w:sz="4" w:space="0" w:color="auto"/>
              <w:right w:val="single" w:sz="4" w:space="0" w:color="auto"/>
            </w:tcBorders>
            <w:vAlign w:val="center"/>
          </w:tcPr>
          <w:p w:rsidR="0015191A" w:rsidRPr="0050035B" w:rsidRDefault="0015191A" w:rsidP="0015191A">
            <w:pPr>
              <w:jc w:val="right"/>
              <w:rPr>
                <w:rFonts w:ascii="Century Gothic" w:eastAsia="Times New Roman" w:hAnsi="Century Gothic" w:cs="Arial"/>
                <w:strike/>
                <w:sz w:val="16"/>
                <w:szCs w:val="16"/>
                <w:highlight w:val="yellow"/>
                <w:lang w:val="es-MX" w:eastAsia="es-ES"/>
              </w:rPr>
            </w:pPr>
            <w:r>
              <w:rPr>
                <w:rFonts w:ascii="Century Gothic" w:hAnsi="Century Gothic" w:cs="Calibri"/>
                <w:color w:val="000000"/>
                <w:sz w:val="18"/>
                <w:szCs w:val="18"/>
              </w:rPr>
              <w:t>$30,875,215.71</w:t>
            </w:r>
          </w:p>
        </w:tc>
        <w:tc>
          <w:tcPr>
            <w:tcW w:w="1701" w:type="dxa"/>
            <w:tcBorders>
              <w:top w:val="single" w:sz="4" w:space="0" w:color="auto"/>
              <w:left w:val="single" w:sz="4" w:space="0" w:color="auto"/>
              <w:bottom w:val="single" w:sz="4" w:space="0" w:color="auto"/>
              <w:right w:val="single" w:sz="4" w:space="0" w:color="auto"/>
            </w:tcBorders>
            <w:vAlign w:val="center"/>
          </w:tcPr>
          <w:p w:rsidR="0015191A" w:rsidRPr="0050035B" w:rsidRDefault="0015191A" w:rsidP="0015191A">
            <w:pPr>
              <w:jc w:val="center"/>
              <w:rPr>
                <w:rFonts w:ascii="Century Gothic" w:eastAsia="Times New Roman" w:hAnsi="Century Gothic" w:cs="Arial"/>
                <w:strike/>
                <w:sz w:val="16"/>
                <w:szCs w:val="16"/>
                <w:highlight w:val="yellow"/>
                <w:lang w:val="es-MX" w:eastAsia="es-ES"/>
              </w:rPr>
            </w:pPr>
            <w:r>
              <w:rPr>
                <w:rFonts w:ascii="Century Gothic" w:hAnsi="Century Gothic" w:cs="Calibri"/>
                <w:color w:val="000000"/>
                <w:sz w:val="18"/>
                <w:szCs w:val="18"/>
              </w:rPr>
              <w:t>$30,875,215.71</w:t>
            </w:r>
          </w:p>
        </w:tc>
        <w:tc>
          <w:tcPr>
            <w:tcW w:w="1276" w:type="dxa"/>
            <w:tcBorders>
              <w:top w:val="nil"/>
              <w:left w:val="single" w:sz="4" w:space="0" w:color="auto"/>
              <w:bottom w:val="single" w:sz="4" w:space="0" w:color="auto"/>
              <w:right w:val="single" w:sz="8" w:space="0" w:color="auto"/>
            </w:tcBorders>
            <w:vAlign w:val="center"/>
          </w:tcPr>
          <w:p w:rsidR="0015191A" w:rsidRPr="0050035B" w:rsidRDefault="0015191A" w:rsidP="0015191A">
            <w:pPr>
              <w:jc w:val="center"/>
              <w:rPr>
                <w:rFonts w:ascii="Century Gothic" w:eastAsia="Times New Roman" w:hAnsi="Century Gothic" w:cs="Arial"/>
                <w:strike/>
                <w:sz w:val="16"/>
                <w:szCs w:val="16"/>
                <w:highlight w:val="yellow"/>
                <w:lang w:val="es-MX" w:eastAsia="es-ES"/>
              </w:rPr>
            </w:pPr>
            <w:r>
              <w:rPr>
                <w:rFonts w:ascii="Century Gothic" w:hAnsi="Century Gothic" w:cs="Calibri"/>
                <w:color w:val="000000"/>
                <w:sz w:val="18"/>
                <w:szCs w:val="18"/>
              </w:rPr>
              <w:t>0.00%</w:t>
            </w:r>
          </w:p>
        </w:tc>
      </w:tr>
      <w:tr w:rsidR="0015191A" w:rsidRPr="0050035B" w:rsidTr="004D77A1">
        <w:trPr>
          <w:trHeight w:val="374"/>
        </w:trPr>
        <w:tc>
          <w:tcPr>
            <w:tcW w:w="2331" w:type="dxa"/>
            <w:tcBorders>
              <w:top w:val="nil"/>
              <w:left w:val="single" w:sz="8" w:space="0" w:color="auto"/>
              <w:bottom w:val="single" w:sz="8" w:space="0" w:color="auto"/>
              <w:right w:val="single" w:sz="4" w:space="0" w:color="auto"/>
            </w:tcBorders>
            <w:shd w:val="clear" w:color="auto" w:fill="595959" w:themeFill="text1" w:themeFillTint="A6"/>
            <w:noWrap/>
            <w:vAlign w:val="center"/>
            <w:hideMark/>
          </w:tcPr>
          <w:p w:rsidR="0015191A" w:rsidRPr="0050035B" w:rsidRDefault="0015191A" w:rsidP="0015191A">
            <w:pPr>
              <w:jc w:val="center"/>
              <w:rPr>
                <w:rFonts w:ascii="Century Gothic" w:eastAsia="Times New Roman" w:hAnsi="Century Gothic" w:cs="Arial"/>
                <w:b/>
                <w:color w:val="FFFFFF" w:themeColor="background1"/>
                <w:sz w:val="18"/>
                <w:szCs w:val="18"/>
                <w:lang w:val="es-MX" w:eastAsia="es-ES"/>
              </w:rPr>
            </w:pPr>
            <w:r w:rsidRPr="0050035B">
              <w:rPr>
                <w:rFonts w:ascii="Century Gothic" w:eastAsia="Times New Roman" w:hAnsi="Century Gothic" w:cs="Arial"/>
                <w:b/>
                <w:color w:val="FFFFFF" w:themeColor="background1"/>
                <w:sz w:val="18"/>
                <w:szCs w:val="18"/>
                <w:lang w:val="es-MX" w:eastAsia="es-ES"/>
              </w:rPr>
              <w:t>TOTAL</w:t>
            </w:r>
          </w:p>
        </w:tc>
        <w:tc>
          <w:tcPr>
            <w:tcW w:w="1780" w:type="dxa"/>
            <w:tcBorders>
              <w:top w:val="nil"/>
              <w:left w:val="nil"/>
              <w:bottom w:val="single" w:sz="8" w:space="0" w:color="auto"/>
              <w:right w:val="single" w:sz="8" w:space="0" w:color="auto"/>
            </w:tcBorders>
            <w:shd w:val="clear" w:color="auto" w:fill="auto"/>
            <w:noWrap/>
            <w:vAlign w:val="center"/>
          </w:tcPr>
          <w:p w:rsidR="0015191A" w:rsidRPr="0050035B" w:rsidRDefault="0015191A" w:rsidP="0015191A">
            <w:pPr>
              <w:jc w:val="right"/>
              <w:rPr>
                <w:rFonts w:ascii="Century Gothic" w:eastAsia="Times New Roman" w:hAnsi="Century Gothic" w:cs="Arial"/>
                <w:b/>
                <w:strike/>
                <w:sz w:val="16"/>
                <w:szCs w:val="16"/>
                <w:highlight w:val="yellow"/>
                <w:lang w:val="es-MX" w:eastAsia="es-ES"/>
              </w:rPr>
            </w:pPr>
            <w:r>
              <w:rPr>
                <w:rFonts w:ascii="Century Gothic" w:hAnsi="Century Gothic" w:cs="Calibri"/>
                <w:b/>
                <w:bCs/>
                <w:color w:val="000000"/>
                <w:sz w:val="18"/>
                <w:szCs w:val="18"/>
              </w:rPr>
              <w:t>$2,003,080,233.59</w:t>
            </w:r>
          </w:p>
        </w:tc>
        <w:tc>
          <w:tcPr>
            <w:tcW w:w="1701" w:type="dxa"/>
            <w:tcBorders>
              <w:top w:val="nil"/>
              <w:left w:val="nil"/>
              <w:bottom w:val="single" w:sz="8" w:space="0" w:color="auto"/>
              <w:right w:val="single" w:sz="4" w:space="0" w:color="auto"/>
            </w:tcBorders>
            <w:vAlign w:val="center"/>
          </w:tcPr>
          <w:p w:rsidR="0015191A" w:rsidRPr="0050035B" w:rsidRDefault="0015191A" w:rsidP="0015191A">
            <w:pPr>
              <w:jc w:val="right"/>
              <w:rPr>
                <w:rFonts w:ascii="Century Gothic" w:eastAsia="Times New Roman" w:hAnsi="Century Gothic" w:cs="Arial"/>
                <w:b/>
                <w:strike/>
                <w:sz w:val="16"/>
                <w:szCs w:val="16"/>
                <w:highlight w:val="yellow"/>
                <w:lang w:val="es-MX" w:eastAsia="es-ES"/>
              </w:rPr>
            </w:pPr>
            <w:r>
              <w:rPr>
                <w:rFonts w:ascii="Century Gothic" w:hAnsi="Century Gothic" w:cs="Calibri"/>
                <w:b/>
                <w:bCs/>
                <w:color w:val="000000"/>
                <w:sz w:val="18"/>
                <w:szCs w:val="18"/>
              </w:rPr>
              <w:t>$1,982,069,667.01</w:t>
            </w:r>
          </w:p>
        </w:tc>
        <w:tc>
          <w:tcPr>
            <w:tcW w:w="1701" w:type="dxa"/>
            <w:tcBorders>
              <w:top w:val="single" w:sz="4" w:space="0" w:color="auto"/>
              <w:left w:val="single" w:sz="4" w:space="0" w:color="auto"/>
              <w:bottom w:val="single" w:sz="4" w:space="0" w:color="auto"/>
              <w:right w:val="single" w:sz="4" w:space="0" w:color="auto"/>
            </w:tcBorders>
            <w:vAlign w:val="center"/>
          </w:tcPr>
          <w:p w:rsidR="0015191A" w:rsidRPr="0050035B" w:rsidRDefault="0015191A" w:rsidP="0015191A">
            <w:pPr>
              <w:jc w:val="center"/>
              <w:rPr>
                <w:rFonts w:ascii="Century Gothic" w:eastAsia="Times New Roman" w:hAnsi="Century Gothic" w:cs="Arial"/>
                <w:b/>
                <w:strike/>
                <w:sz w:val="16"/>
                <w:szCs w:val="16"/>
                <w:highlight w:val="yellow"/>
                <w:lang w:val="es-MX" w:eastAsia="es-ES"/>
              </w:rPr>
            </w:pPr>
            <w:r>
              <w:rPr>
                <w:rFonts w:ascii="Century Gothic" w:hAnsi="Century Gothic" w:cs="Calibri"/>
                <w:b/>
                <w:bCs/>
                <w:color w:val="000000"/>
                <w:sz w:val="18"/>
                <w:szCs w:val="18"/>
              </w:rPr>
              <w:t>$2,281,770,937.58</w:t>
            </w:r>
          </w:p>
        </w:tc>
        <w:tc>
          <w:tcPr>
            <w:tcW w:w="1276" w:type="dxa"/>
            <w:tcBorders>
              <w:top w:val="nil"/>
              <w:left w:val="single" w:sz="4" w:space="0" w:color="auto"/>
              <w:bottom w:val="single" w:sz="8" w:space="0" w:color="auto"/>
              <w:right w:val="single" w:sz="8" w:space="0" w:color="auto"/>
            </w:tcBorders>
            <w:vAlign w:val="center"/>
          </w:tcPr>
          <w:p w:rsidR="0015191A" w:rsidRPr="0050035B" w:rsidRDefault="0015191A" w:rsidP="0015191A">
            <w:pPr>
              <w:jc w:val="center"/>
              <w:rPr>
                <w:rFonts w:ascii="Century Gothic" w:eastAsia="Times New Roman" w:hAnsi="Century Gothic" w:cs="Arial"/>
                <w:b/>
                <w:strike/>
                <w:sz w:val="16"/>
                <w:szCs w:val="16"/>
                <w:highlight w:val="yellow"/>
                <w:lang w:val="es-MX" w:eastAsia="es-ES"/>
              </w:rPr>
            </w:pPr>
            <w:r>
              <w:rPr>
                <w:rFonts w:ascii="Century Gothic" w:hAnsi="Century Gothic" w:cs="Calibri"/>
                <w:b/>
                <w:bCs/>
                <w:color w:val="000000"/>
                <w:sz w:val="18"/>
                <w:szCs w:val="18"/>
              </w:rPr>
              <w:t>15.12%</w:t>
            </w:r>
          </w:p>
        </w:tc>
      </w:tr>
    </w:tbl>
    <w:p w:rsidR="006501D9" w:rsidRPr="0050035B" w:rsidRDefault="006501D9" w:rsidP="006501D9">
      <w:pPr>
        <w:ind w:firstLine="720"/>
        <w:rPr>
          <w:rFonts w:ascii="Century Gothic" w:hAnsi="Century Gothic"/>
          <w:sz w:val="20"/>
          <w:szCs w:val="20"/>
          <w:lang w:val="es-MX"/>
        </w:rPr>
      </w:pPr>
      <w:r w:rsidRPr="0050035B">
        <w:rPr>
          <w:rFonts w:ascii="Century Gothic" w:hAnsi="Century Gothic"/>
          <w:b/>
          <w:bCs/>
          <w:sz w:val="20"/>
          <w:szCs w:val="20"/>
          <w:lang w:val="es-MX"/>
        </w:rPr>
        <w:t>Fuente</w:t>
      </w:r>
      <w:r w:rsidRPr="0050035B">
        <w:rPr>
          <w:rFonts w:ascii="Century Gothic" w:hAnsi="Century Gothic"/>
          <w:sz w:val="20"/>
          <w:szCs w:val="20"/>
          <w:lang w:val="es-MX"/>
        </w:rPr>
        <w:t>: Elaboración propi</w:t>
      </w:r>
      <w:r w:rsidR="00EA197E" w:rsidRPr="0050035B">
        <w:rPr>
          <w:rFonts w:ascii="Century Gothic" w:hAnsi="Century Gothic"/>
          <w:sz w:val="20"/>
          <w:szCs w:val="20"/>
          <w:lang w:val="es-MX"/>
        </w:rPr>
        <w:t xml:space="preserve">a, </w:t>
      </w:r>
      <w:r w:rsidR="00846DE2" w:rsidRPr="0050035B">
        <w:rPr>
          <w:rFonts w:ascii="Century Gothic" w:hAnsi="Century Gothic"/>
          <w:sz w:val="20"/>
          <w:szCs w:val="20"/>
          <w:lang w:val="es-MX"/>
        </w:rPr>
        <w:t>202</w:t>
      </w:r>
      <w:r w:rsidR="00680959">
        <w:rPr>
          <w:rFonts w:ascii="Century Gothic" w:hAnsi="Century Gothic"/>
          <w:sz w:val="20"/>
          <w:szCs w:val="20"/>
          <w:lang w:val="es-MX"/>
        </w:rPr>
        <w:t>1</w:t>
      </w:r>
      <w:r w:rsidRPr="0050035B">
        <w:rPr>
          <w:rFonts w:ascii="Century Gothic" w:hAnsi="Century Gothic"/>
          <w:sz w:val="20"/>
          <w:szCs w:val="20"/>
          <w:lang w:val="es-MX"/>
        </w:rPr>
        <w:t>.</w:t>
      </w:r>
    </w:p>
    <w:p w:rsidR="007A4016" w:rsidRPr="0050035B" w:rsidRDefault="007A4016" w:rsidP="006501D9">
      <w:pPr>
        <w:spacing w:line="360" w:lineRule="auto"/>
        <w:jc w:val="both"/>
        <w:rPr>
          <w:rFonts w:ascii="Century Gothic" w:hAnsi="Century Gothic"/>
          <w:lang w:val="es-MX"/>
        </w:rPr>
      </w:pPr>
    </w:p>
    <w:p w:rsidR="00F7094E" w:rsidRPr="0050035B" w:rsidRDefault="005267A7" w:rsidP="00734847">
      <w:pPr>
        <w:spacing w:line="360" w:lineRule="auto"/>
        <w:rPr>
          <w:rFonts w:ascii="Century Gothic" w:hAnsi="Century Gothic"/>
          <w:b/>
          <w:lang w:val="es-MX"/>
        </w:rPr>
      </w:pPr>
      <w:r w:rsidRPr="0050035B">
        <w:rPr>
          <w:rFonts w:ascii="Century Gothic" w:hAnsi="Century Gothic"/>
          <w:b/>
          <w:lang w:val="es-MX"/>
        </w:rPr>
        <w:t>4</w:t>
      </w:r>
      <w:r w:rsidR="003B78F4" w:rsidRPr="0050035B">
        <w:rPr>
          <w:rFonts w:ascii="Century Gothic" w:hAnsi="Century Gothic"/>
          <w:b/>
          <w:lang w:val="es-MX"/>
        </w:rPr>
        <w:t>.4</w:t>
      </w:r>
      <w:r w:rsidR="000D24A0" w:rsidRPr="0050035B">
        <w:rPr>
          <w:rFonts w:ascii="Century Gothic" w:hAnsi="Century Gothic"/>
          <w:b/>
          <w:lang w:val="es-MX"/>
        </w:rPr>
        <w:t>.</w:t>
      </w:r>
      <w:r w:rsidR="00F7094E" w:rsidRPr="0050035B">
        <w:rPr>
          <w:rFonts w:ascii="Century Gothic" w:hAnsi="Century Gothic"/>
          <w:b/>
          <w:lang w:val="es-MX"/>
        </w:rPr>
        <w:t xml:space="preserve"> Distribución de los Ingresos por Concepto de </w:t>
      </w:r>
      <w:r w:rsidR="003B78F4" w:rsidRPr="0050035B">
        <w:rPr>
          <w:rFonts w:ascii="Century Gothic" w:hAnsi="Century Gothic"/>
          <w:b/>
          <w:i/>
          <w:lang w:val="es-MX"/>
        </w:rPr>
        <w:t>“</w:t>
      </w:r>
      <w:r w:rsidR="00F7094E" w:rsidRPr="0050035B">
        <w:rPr>
          <w:rFonts w:ascii="Century Gothic" w:hAnsi="Century Gothic"/>
          <w:b/>
          <w:i/>
          <w:lang w:val="es-MX"/>
        </w:rPr>
        <w:t>Derechos, Productos y Aprovechamientos</w:t>
      </w:r>
      <w:r w:rsidR="003B78F4" w:rsidRPr="0050035B">
        <w:rPr>
          <w:rFonts w:ascii="Century Gothic" w:hAnsi="Century Gothic"/>
          <w:b/>
          <w:i/>
          <w:lang w:val="es-MX"/>
        </w:rPr>
        <w:t>”</w:t>
      </w:r>
      <w:r w:rsidR="008F6AF2" w:rsidRPr="0050035B">
        <w:rPr>
          <w:rFonts w:ascii="Century Gothic" w:hAnsi="Century Gothic"/>
          <w:b/>
          <w:lang w:val="es-MX"/>
        </w:rPr>
        <w:t xml:space="preserve"> Presupuestados para el 202</w:t>
      </w:r>
      <w:r w:rsidR="00680959">
        <w:rPr>
          <w:rFonts w:ascii="Century Gothic" w:hAnsi="Century Gothic"/>
          <w:b/>
          <w:lang w:val="es-MX"/>
        </w:rPr>
        <w:t>2</w:t>
      </w:r>
    </w:p>
    <w:p w:rsidR="00254F18" w:rsidRPr="0050035B" w:rsidRDefault="00254F18" w:rsidP="00F7094E">
      <w:pPr>
        <w:spacing w:line="276" w:lineRule="auto"/>
        <w:rPr>
          <w:rFonts w:ascii="Century Gothic" w:hAnsi="Century Gothic"/>
          <w:lang w:val="es-MX"/>
        </w:rPr>
      </w:pPr>
    </w:p>
    <w:p w:rsidR="003D3DD4" w:rsidRPr="0050035B" w:rsidRDefault="00F7094E" w:rsidP="003D3DD4">
      <w:pPr>
        <w:spacing w:line="360" w:lineRule="auto"/>
        <w:jc w:val="both"/>
        <w:rPr>
          <w:rFonts w:ascii="Century Gothic" w:hAnsi="Century Gothic"/>
          <w:lang w:val="es-MX"/>
        </w:rPr>
      </w:pPr>
      <w:r w:rsidRPr="0050035B">
        <w:rPr>
          <w:rFonts w:ascii="Century Gothic" w:hAnsi="Century Gothic"/>
          <w:lang w:val="es-MX"/>
        </w:rPr>
        <w:t>Los</w:t>
      </w:r>
      <w:r w:rsidR="009A533D" w:rsidRPr="0050035B">
        <w:rPr>
          <w:rFonts w:ascii="Century Gothic" w:hAnsi="Century Gothic"/>
          <w:lang w:val="es-MX"/>
        </w:rPr>
        <w:t xml:space="preserve"> Derechos, Productos y Aprovechamientos, son tipos de </w:t>
      </w:r>
      <w:r w:rsidR="000C3319" w:rsidRPr="0050035B">
        <w:rPr>
          <w:rFonts w:ascii="Century Gothic" w:hAnsi="Century Gothic"/>
          <w:lang w:val="es-MX"/>
        </w:rPr>
        <w:t xml:space="preserve">contribuciones </w:t>
      </w:r>
      <w:r w:rsidR="009A533D" w:rsidRPr="0050035B">
        <w:rPr>
          <w:rFonts w:ascii="Century Gothic" w:hAnsi="Century Gothic"/>
          <w:lang w:val="es-MX"/>
        </w:rPr>
        <w:t>que se encuentran dentro del rubro de</w:t>
      </w:r>
      <w:r w:rsidRPr="0050035B">
        <w:rPr>
          <w:rFonts w:ascii="Century Gothic" w:hAnsi="Century Gothic"/>
          <w:lang w:val="es-MX"/>
        </w:rPr>
        <w:t xml:space="preserve"> ingresos propios del Municipio</w:t>
      </w:r>
      <w:r w:rsidR="009A533D" w:rsidRPr="0050035B">
        <w:rPr>
          <w:rFonts w:ascii="Century Gothic" w:hAnsi="Century Gothic"/>
          <w:lang w:val="es-MX"/>
        </w:rPr>
        <w:t xml:space="preserve">. </w:t>
      </w:r>
      <w:r w:rsidR="00CA692E" w:rsidRPr="0050035B">
        <w:rPr>
          <w:rFonts w:ascii="Century Gothic" w:hAnsi="Century Gothic"/>
          <w:lang w:val="es-MX"/>
        </w:rPr>
        <w:t xml:space="preserve">Cabe destacar que el Código Fiscal </w:t>
      </w:r>
      <w:r w:rsidR="004C745C" w:rsidRPr="0050035B">
        <w:rPr>
          <w:rFonts w:ascii="Century Gothic" w:hAnsi="Century Gothic"/>
          <w:lang w:val="es-MX"/>
        </w:rPr>
        <w:t>d</w:t>
      </w:r>
      <w:r w:rsidR="00CA692E" w:rsidRPr="0050035B">
        <w:rPr>
          <w:rFonts w:ascii="Century Gothic" w:hAnsi="Century Gothic"/>
          <w:lang w:val="es-MX"/>
        </w:rPr>
        <w:t>el Estado de Nuevo León (CFENL), se encarga dentro de su artículo 3 de definir a los Derechos como “las contribuciones establecidas en Ley por el uso o aprovechamiento de los bienes del dominio público del Estado, así como por recibir servicios que presta el Estado en sus funciones de derecho público</w:t>
      </w:r>
      <w:r w:rsidR="00CA692E" w:rsidRPr="0050035B">
        <w:rPr>
          <w:rStyle w:val="Refdenotaalpie"/>
          <w:rFonts w:ascii="Century Gothic" w:hAnsi="Century Gothic"/>
          <w:lang w:val="es-MX"/>
        </w:rPr>
        <w:footnoteReference w:id="48"/>
      </w:r>
      <w:r w:rsidR="003D3DD4" w:rsidRPr="0050035B">
        <w:rPr>
          <w:rFonts w:ascii="Century Gothic" w:hAnsi="Century Gothic"/>
          <w:lang w:val="es-MX"/>
        </w:rPr>
        <w:t>”.</w:t>
      </w:r>
    </w:p>
    <w:p w:rsidR="008A203A" w:rsidRPr="0050035B" w:rsidRDefault="008A203A" w:rsidP="003D3DD4">
      <w:pPr>
        <w:spacing w:line="360" w:lineRule="auto"/>
        <w:jc w:val="both"/>
        <w:rPr>
          <w:rFonts w:ascii="Century Gothic" w:hAnsi="Century Gothic"/>
          <w:lang w:val="es-MX"/>
        </w:rPr>
      </w:pPr>
    </w:p>
    <w:p w:rsidR="00CA692E" w:rsidRPr="00A377A6" w:rsidRDefault="003D3DD4" w:rsidP="003D3DD4">
      <w:pPr>
        <w:spacing w:line="360" w:lineRule="auto"/>
        <w:ind w:firstLine="720"/>
        <w:jc w:val="both"/>
        <w:rPr>
          <w:rFonts w:ascii="Century Gothic" w:hAnsi="Century Gothic"/>
          <w:lang w:val="es-MX"/>
        </w:rPr>
      </w:pPr>
      <w:r w:rsidRPr="0050035B">
        <w:rPr>
          <w:rFonts w:ascii="Century Gothic" w:hAnsi="Century Gothic"/>
          <w:lang w:val="es-MX"/>
        </w:rPr>
        <w:t>P</w:t>
      </w:r>
      <w:r w:rsidR="00CA692E" w:rsidRPr="0050035B">
        <w:rPr>
          <w:rFonts w:ascii="Century Gothic" w:hAnsi="Century Gothic"/>
          <w:lang w:val="es-MX"/>
        </w:rPr>
        <w:t>or su parte,</w:t>
      </w:r>
      <w:r w:rsidR="001C4C0F" w:rsidRPr="0050035B">
        <w:rPr>
          <w:rFonts w:ascii="Century Gothic" w:hAnsi="Century Gothic"/>
          <w:lang w:val="es-MX"/>
        </w:rPr>
        <w:t xml:space="preserve"> </w:t>
      </w:r>
      <w:r w:rsidR="00E263CA" w:rsidRPr="0050035B">
        <w:rPr>
          <w:rFonts w:ascii="Century Gothic" w:hAnsi="Century Gothic"/>
          <w:lang w:val="es-MX"/>
        </w:rPr>
        <w:t>los productos</w:t>
      </w:r>
      <w:r w:rsidR="00C83EE0" w:rsidRPr="0050035B">
        <w:rPr>
          <w:rFonts w:ascii="Century Gothic" w:hAnsi="Century Gothic"/>
          <w:lang w:val="es-MX"/>
        </w:rPr>
        <w:t xml:space="preserve"> son “…</w:t>
      </w:r>
      <w:r w:rsidR="00ED3CDC" w:rsidRPr="0050035B">
        <w:rPr>
          <w:rFonts w:ascii="Century Gothic" w:hAnsi="Century Gothic"/>
          <w:lang w:val="es-MX"/>
        </w:rPr>
        <w:t xml:space="preserve"> las contraprestaciones por los servicios que preste el Estado en sus funciones de derecho privado, así como por el uso, aprovechamiento o enajenación de bienes del dominio privado </w:t>
      </w:r>
      <w:r w:rsidR="00C83EE0" w:rsidRPr="0050035B">
        <w:rPr>
          <w:rStyle w:val="Refdenotaalpie"/>
          <w:rFonts w:ascii="Century Gothic" w:hAnsi="Century Gothic"/>
          <w:lang w:val="es-MX"/>
        </w:rPr>
        <w:footnoteReference w:id="49"/>
      </w:r>
      <w:r w:rsidR="007A2464" w:rsidRPr="0050035B">
        <w:rPr>
          <w:rFonts w:ascii="Century Gothic" w:hAnsi="Century Gothic"/>
          <w:lang w:val="es-MX"/>
        </w:rPr>
        <w:t>”;</w:t>
      </w:r>
      <w:r w:rsidR="009D2869" w:rsidRPr="0050035B">
        <w:rPr>
          <w:rFonts w:ascii="Century Gothic" w:hAnsi="Century Gothic"/>
          <w:lang w:val="es-MX"/>
        </w:rPr>
        <w:t xml:space="preserve"> finalmente, </w:t>
      </w:r>
      <w:r w:rsidR="00C83EE0" w:rsidRPr="0050035B">
        <w:rPr>
          <w:rFonts w:ascii="Century Gothic" w:hAnsi="Century Gothic"/>
          <w:lang w:val="es-MX"/>
        </w:rPr>
        <w:t>respecto a los aprovechamientos, el CFENL los define como “</w:t>
      </w:r>
      <w:r w:rsidR="00C422D9" w:rsidRPr="0050035B">
        <w:rPr>
          <w:rFonts w:ascii="Century Gothic" w:hAnsi="Century Gothic"/>
          <w:lang w:val="es-MX"/>
        </w:rPr>
        <w:t>…</w:t>
      </w:r>
      <w:r w:rsidR="00C83EE0" w:rsidRPr="0050035B">
        <w:rPr>
          <w:rFonts w:ascii="Century Gothic" w:hAnsi="Century Gothic"/>
          <w:lang w:val="es-MX"/>
        </w:rPr>
        <w:t xml:space="preserve">los ingresos distintos de las contribuciones que percibe el Estado por </w:t>
      </w:r>
      <w:r w:rsidR="00C83EE0" w:rsidRPr="0050035B">
        <w:rPr>
          <w:rFonts w:ascii="Century Gothic" w:hAnsi="Century Gothic"/>
          <w:lang w:val="es-MX"/>
        </w:rPr>
        <w:lastRenderedPageBreak/>
        <w:t xml:space="preserve">funciones de derecho público, los ingresos derivados de financiamientos y los </w:t>
      </w:r>
      <w:r w:rsidR="00C83EE0" w:rsidRPr="00A377A6">
        <w:rPr>
          <w:rFonts w:ascii="Century Gothic" w:hAnsi="Century Gothic"/>
          <w:lang w:val="es-MX"/>
        </w:rPr>
        <w:t>que obtengan los organismos descentralizados que no tengan la naturaleza de derechos</w:t>
      </w:r>
      <w:r w:rsidR="00C83EE0" w:rsidRPr="00A377A6">
        <w:rPr>
          <w:rStyle w:val="Refdenotaalpie"/>
          <w:rFonts w:ascii="Century Gothic" w:hAnsi="Century Gothic"/>
          <w:lang w:val="es-MX"/>
        </w:rPr>
        <w:footnoteReference w:id="50"/>
      </w:r>
      <w:r w:rsidR="00C83EE0" w:rsidRPr="00A377A6">
        <w:rPr>
          <w:rFonts w:ascii="Century Gothic" w:hAnsi="Century Gothic"/>
          <w:lang w:val="es-MX"/>
        </w:rPr>
        <w:t>”.</w:t>
      </w:r>
    </w:p>
    <w:p w:rsidR="00CA692E" w:rsidRPr="00A377A6" w:rsidRDefault="00CA692E" w:rsidP="00CA692E">
      <w:pPr>
        <w:spacing w:line="360" w:lineRule="auto"/>
        <w:ind w:firstLine="720"/>
        <w:jc w:val="both"/>
        <w:rPr>
          <w:rFonts w:ascii="Century Gothic" w:hAnsi="Century Gothic"/>
          <w:lang w:val="es-MX"/>
        </w:rPr>
      </w:pPr>
    </w:p>
    <w:p w:rsidR="00BD06DD" w:rsidRPr="00A377A6" w:rsidRDefault="00BD06DD" w:rsidP="00CA692E">
      <w:pPr>
        <w:spacing w:line="360" w:lineRule="auto"/>
        <w:ind w:firstLine="720"/>
        <w:jc w:val="both"/>
        <w:rPr>
          <w:rFonts w:ascii="Century Gothic" w:eastAsia="Times New Roman" w:hAnsi="Century Gothic" w:cs="Arial"/>
          <w:b/>
          <w:color w:val="000000"/>
          <w:lang w:val="es-MX" w:eastAsia="es-ES"/>
        </w:rPr>
      </w:pPr>
      <w:r w:rsidRPr="00A377A6">
        <w:rPr>
          <w:rFonts w:ascii="Century Gothic" w:hAnsi="Century Gothic"/>
          <w:lang w:val="es-MX"/>
        </w:rPr>
        <w:t xml:space="preserve">Para este </w:t>
      </w:r>
      <w:r w:rsidR="00846DE2" w:rsidRPr="00A377A6">
        <w:rPr>
          <w:rFonts w:ascii="Century Gothic" w:hAnsi="Century Gothic"/>
          <w:lang w:val="es-MX"/>
        </w:rPr>
        <w:t>202</w:t>
      </w:r>
      <w:r w:rsidR="00F470D9">
        <w:rPr>
          <w:rFonts w:ascii="Century Gothic" w:hAnsi="Century Gothic"/>
          <w:lang w:val="es-MX"/>
        </w:rPr>
        <w:t>2</w:t>
      </w:r>
      <w:r w:rsidR="009A533D" w:rsidRPr="00A377A6">
        <w:rPr>
          <w:rFonts w:ascii="Century Gothic" w:hAnsi="Century Gothic"/>
          <w:lang w:val="es-MX"/>
        </w:rPr>
        <w:t>,</w:t>
      </w:r>
      <w:r w:rsidRPr="00A377A6">
        <w:rPr>
          <w:rFonts w:ascii="Century Gothic" w:hAnsi="Century Gothic"/>
          <w:lang w:val="es-MX"/>
        </w:rPr>
        <w:t xml:space="preserve"> se estima que por concepto de </w:t>
      </w:r>
      <w:r w:rsidRPr="00A377A6">
        <w:rPr>
          <w:rFonts w:ascii="Century Gothic" w:hAnsi="Century Gothic"/>
          <w:b/>
          <w:u w:val="single"/>
          <w:lang w:val="es-MX"/>
        </w:rPr>
        <w:t>Derechos</w:t>
      </w:r>
      <w:r w:rsidRPr="00A377A6">
        <w:rPr>
          <w:rFonts w:ascii="Century Gothic" w:hAnsi="Century Gothic"/>
          <w:lang w:val="es-MX"/>
        </w:rPr>
        <w:t xml:space="preserve"> se e</w:t>
      </w:r>
      <w:r w:rsidR="00EA197E" w:rsidRPr="00A377A6">
        <w:rPr>
          <w:rFonts w:ascii="Century Gothic" w:hAnsi="Century Gothic"/>
          <w:lang w:val="es-MX"/>
        </w:rPr>
        <w:t xml:space="preserve">sté percibiendo la cantidad de: </w:t>
      </w:r>
      <w:r w:rsidR="00391B5A" w:rsidRPr="00487781">
        <w:rPr>
          <w:rFonts w:ascii="Century Gothic" w:eastAsia="Times New Roman" w:hAnsi="Century Gothic" w:cs="Arial"/>
          <w:b/>
          <w:color w:val="000000"/>
          <w:lang w:val="es-MX" w:eastAsia="es-ES"/>
        </w:rPr>
        <w:t>$</w:t>
      </w:r>
      <w:r w:rsidR="002431D5" w:rsidRPr="00487781">
        <w:rPr>
          <w:rFonts w:ascii="Century Gothic" w:eastAsia="Times New Roman" w:hAnsi="Century Gothic" w:cs="Arial"/>
          <w:b/>
          <w:color w:val="000000"/>
          <w:lang w:val="es-MX" w:eastAsia="es-ES"/>
        </w:rPr>
        <w:t>268,214,704.19</w:t>
      </w:r>
      <w:r w:rsidR="002431D5" w:rsidRPr="00A377A6">
        <w:rPr>
          <w:rFonts w:ascii="Century Gothic" w:eastAsia="Times New Roman" w:hAnsi="Century Gothic" w:cs="Arial"/>
          <w:b/>
          <w:color w:val="000000"/>
          <w:u w:val="single"/>
          <w:lang w:val="es-MX" w:eastAsia="es-ES"/>
        </w:rPr>
        <w:t xml:space="preserve"> </w:t>
      </w:r>
      <w:r w:rsidR="009D2869" w:rsidRPr="00A377A6">
        <w:rPr>
          <w:rFonts w:ascii="Century Gothic" w:eastAsia="Times New Roman" w:hAnsi="Century Gothic" w:cs="Arial"/>
          <w:b/>
          <w:color w:val="000000"/>
          <w:lang w:val="es-MX" w:eastAsia="es-ES"/>
        </w:rPr>
        <w:t>(</w:t>
      </w:r>
      <w:r w:rsidR="002431D5" w:rsidRPr="00A377A6">
        <w:rPr>
          <w:rFonts w:ascii="Century Gothic" w:eastAsia="Times New Roman" w:hAnsi="Century Gothic" w:cs="Arial"/>
          <w:b/>
          <w:color w:val="000000"/>
          <w:lang w:val="es-MX" w:eastAsia="es-ES"/>
        </w:rPr>
        <w:t>Doscientos sesenta y ocho millones doscientos catorce mil setecientos cuatro</w:t>
      </w:r>
      <w:r w:rsidR="00683907" w:rsidRPr="00A377A6">
        <w:rPr>
          <w:rFonts w:ascii="Century Gothic" w:eastAsia="Times New Roman" w:hAnsi="Century Gothic" w:cs="Arial"/>
          <w:b/>
          <w:color w:val="000000"/>
          <w:lang w:val="es-MX" w:eastAsia="es-ES"/>
        </w:rPr>
        <w:t xml:space="preserve"> </w:t>
      </w:r>
      <w:r w:rsidR="009D2869" w:rsidRPr="00A377A6">
        <w:rPr>
          <w:rFonts w:ascii="Century Gothic" w:eastAsia="Times New Roman" w:hAnsi="Century Gothic" w:cs="Arial"/>
          <w:b/>
          <w:color w:val="000000"/>
          <w:lang w:val="es-MX" w:eastAsia="es-ES"/>
        </w:rPr>
        <w:t xml:space="preserve">pesos </w:t>
      </w:r>
      <w:r w:rsidR="002431D5" w:rsidRPr="00A377A6">
        <w:rPr>
          <w:rFonts w:ascii="Century Gothic" w:eastAsia="Times New Roman" w:hAnsi="Century Gothic" w:cs="Arial"/>
          <w:b/>
          <w:color w:val="000000"/>
          <w:lang w:val="es-MX" w:eastAsia="es-ES"/>
        </w:rPr>
        <w:t>19</w:t>
      </w:r>
      <w:r w:rsidR="009D2869" w:rsidRPr="00A377A6">
        <w:rPr>
          <w:rFonts w:ascii="Century Gothic" w:eastAsia="Times New Roman" w:hAnsi="Century Gothic" w:cs="Arial"/>
          <w:b/>
          <w:color w:val="000000"/>
          <w:lang w:val="es-MX" w:eastAsia="es-ES"/>
        </w:rPr>
        <w:t>/100 Moneda Nacional)</w:t>
      </w:r>
      <w:r w:rsidRPr="00A377A6">
        <w:rPr>
          <w:rFonts w:ascii="Century Gothic" w:eastAsia="Times New Roman" w:hAnsi="Century Gothic" w:cs="Arial"/>
          <w:b/>
          <w:color w:val="000000"/>
          <w:lang w:val="es-MX" w:eastAsia="es-ES"/>
        </w:rPr>
        <w:t xml:space="preserve">. </w:t>
      </w:r>
      <w:r w:rsidRPr="00A377A6">
        <w:rPr>
          <w:rFonts w:ascii="Century Gothic" w:eastAsia="Times New Roman" w:hAnsi="Century Gothic" w:cs="Arial"/>
          <w:color w:val="000000"/>
          <w:lang w:val="es-MX" w:eastAsia="es-ES"/>
        </w:rPr>
        <w:t>De los cuales, se espera percibir por</w:t>
      </w:r>
      <w:r w:rsidR="009A533D" w:rsidRPr="00A377A6">
        <w:rPr>
          <w:rFonts w:ascii="Century Gothic" w:eastAsia="Times New Roman" w:hAnsi="Century Gothic" w:cs="Arial"/>
          <w:color w:val="000000"/>
          <w:lang w:val="es-MX" w:eastAsia="es-ES"/>
        </w:rPr>
        <w:t xml:space="preserve"> </w:t>
      </w:r>
      <w:r w:rsidRPr="00A377A6">
        <w:rPr>
          <w:rFonts w:ascii="Century Gothic" w:eastAsia="Times New Roman" w:hAnsi="Century Gothic" w:cs="Arial"/>
          <w:b/>
          <w:color w:val="000000"/>
          <w:lang w:val="es-MX" w:eastAsia="es-ES"/>
        </w:rPr>
        <w:t>Derechos por el uso, goce, aprovechamiento</w:t>
      </w:r>
      <w:r w:rsidRPr="00A377A6">
        <w:rPr>
          <w:rFonts w:ascii="Century Gothic" w:eastAsia="Times New Roman" w:hAnsi="Century Gothic" w:cs="Arial"/>
          <w:color w:val="000000"/>
          <w:lang w:val="es-MX" w:eastAsia="es-ES"/>
        </w:rPr>
        <w:t xml:space="preserve"> o explotación de bienes de dominio público la cantidad de: </w:t>
      </w:r>
      <w:r w:rsidR="002431D5" w:rsidRPr="00A377A6">
        <w:rPr>
          <w:rFonts w:ascii="Century Gothic" w:eastAsia="Times New Roman" w:hAnsi="Century Gothic" w:cs="Arial"/>
          <w:b/>
          <w:color w:val="000000"/>
          <w:lang w:val="es-MX" w:eastAsia="es-ES"/>
        </w:rPr>
        <w:t xml:space="preserve">$114,597,839.49 </w:t>
      </w:r>
      <w:r w:rsidR="00042B30" w:rsidRPr="00A377A6">
        <w:rPr>
          <w:rFonts w:ascii="Century Gothic" w:eastAsia="Times New Roman" w:hAnsi="Century Gothic" w:cs="Arial"/>
          <w:b/>
          <w:color w:val="000000"/>
          <w:lang w:val="es-MX" w:eastAsia="es-ES"/>
        </w:rPr>
        <w:t>(</w:t>
      </w:r>
      <w:r w:rsidR="002431D5" w:rsidRPr="00A377A6">
        <w:rPr>
          <w:rFonts w:ascii="Century Gothic" w:eastAsia="Times New Roman" w:hAnsi="Century Gothic" w:cs="Arial"/>
          <w:b/>
          <w:color w:val="000000"/>
          <w:lang w:val="es-MX" w:eastAsia="es-ES"/>
        </w:rPr>
        <w:t>Ciento catorce millones quinientos noventa y siete mil ochocientos treinta y nueve</w:t>
      </w:r>
      <w:r w:rsidR="000B1A05" w:rsidRPr="00A377A6">
        <w:rPr>
          <w:rFonts w:ascii="Century Gothic" w:eastAsia="Times New Roman" w:hAnsi="Century Gothic" w:cs="Arial"/>
          <w:b/>
          <w:color w:val="000000"/>
          <w:lang w:val="es-MX" w:eastAsia="es-ES"/>
        </w:rPr>
        <w:t xml:space="preserve"> </w:t>
      </w:r>
      <w:r w:rsidR="003447CA" w:rsidRPr="00A377A6">
        <w:rPr>
          <w:rFonts w:ascii="Century Gothic" w:eastAsia="Times New Roman" w:hAnsi="Century Gothic" w:cs="Arial"/>
          <w:b/>
          <w:color w:val="000000"/>
          <w:lang w:val="es-MX" w:eastAsia="es-ES"/>
        </w:rPr>
        <w:t>pesos</w:t>
      </w:r>
      <w:r w:rsidR="00042B30" w:rsidRPr="00A377A6">
        <w:rPr>
          <w:rFonts w:ascii="Century Gothic" w:eastAsia="Times New Roman" w:hAnsi="Century Gothic" w:cs="Arial"/>
          <w:b/>
          <w:color w:val="000000"/>
          <w:lang w:val="es-MX" w:eastAsia="es-ES"/>
        </w:rPr>
        <w:t xml:space="preserve"> </w:t>
      </w:r>
      <w:r w:rsidR="002431D5" w:rsidRPr="00A377A6">
        <w:rPr>
          <w:rFonts w:ascii="Century Gothic" w:eastAsia="Times New Roman" w:hAnsi="Century Gothic" w:cs="Arial"/>
          <w:b/>
          <w:color w:val="000000"/>
          <w:lang w:val="es-MX" w:eastAsia="es-ES"/>
        </w:rPr>
        <w:t>49</w:t>
      </w:r>
      <w:r w:rsidR="00042B30" w:rsidRPr="00A377A6">
        <w:rPr>
          <w:rFonts w:ascii="Century Gothic" w:eastAsia="Times New Roman" w:hAnsi="Century Gothic" w:cs="Arial"/>
          <w:b/>
          <w:color w:val="000000"/>
          <w:lang w:val="es-MX" w:eastAsia="es-ES"/>
        </w:rPr>
        <w:t>/100 Moneda Nacional)</w:t>
      </w:r>
      <w:r w:rsidRPr="00A377A6">
        <w:rPr>
          <w:rFonts w:ascii="Century Gothic" w:eastAsia="Times New Roman" w:hAnsi="Century Gothic" w:cs="Arial"/>
          <w:color w:val="000000"/>
          <w:lang w:val="es-MX" w:eastAsia="es-ES"/>
        </w:rPr>
        <w:t xml:space="preserve">; por </w:t>
      </w:r>
      <w:r w:rsidRPr="00A377A6">
        <w:rPr>
          <w:rFonts w:ascii="Century Gothic" w:eastAsia="Times New Roman" w:hAnsi="Century Gothic" w:cs="Arial"/>
          <w:b/>
          <w:color w:val="000000"/>
          <w:lang w:val="es-MX" w:eastAsia="es-ES"/>
        </w:rPr>
        <w:t>Derechos por Prestación de Servicios</w:t>
      </w:r>
      <w:r w:rsidRPr="00A377A6">
        <w:rPr>
          <w:rFonts w:ascii="Century Gothic" w:eastAsia="Times New Roman" w:hAnsi="Century Gothic" w:cs="Arial"/>
          <w:color w:val="000000"/>
          <w:lang w:val="es-MX" w:eastAsia="es-ES"/>
        </w:rPr>
        <w:t xml:space="preserve"> la cantidad de: </w:t>
      </w:r>
      <w:r w:rsidR="002431D5" w:rsidRPr="00A377A6">
        <w:rPr>
          <w:rFonts w:ascii="Century Gothic" w:eastAsia="Times New Roman" w:hAnsi="Century Gothic" w:cs="Arial"/>
          <w:b/>
          <w:color w:val="000000"/>
          <w:lang w:val="es-MX" w:eastAsia="es-ES"/>
        </w:rPr>
        <w:t xml:space="preserve">$146,276,114.79 </w:t>
      </w:r>
      <w:r w:rsidR="00042B30" w:rsidRPr="00A377A6">
        <w:rPr>
          <w:rFonts w:ascii="Century Gothic" w:eastAsia="Times New Roman" w:hAnsi="Century Gothic" w:cs="Arial"/>
          <w:b/>
          <w:color w:val="000000"/>
          <w:lang w:val="es-MX" w:eastAsia="es-ES"/>
        </w:rPr>
        <w:t>(</w:t>
      </w:r>
      <w:r w:rsidR="002431D5" w:rsidRPr="00A377A6">
        <w:rPr>
          <w:rFonts w:ascii="Century Gothic" w:eastAsia="Times New Roman" w:hAnsi="Century Gothic" w:cs="Arial"/>
          <w:b/>
          <w:color w:val="000000"/>
          <w:lang w:val="es-MX" w:eastAsia="es-ES"/>
        </w:rPr>
        <w:t>Ciento cuarenta y seis millones doscientos setenta y seis mil ciento catorce</w:t>
      </w:r>
      <w:r w:rsidR="00B44FCD" w:rsidRPr="00A377A6">
        <w:rPr>
          <w:rFonts w:ascii="Century Gothic" w:eastAsia="Times New Roman" w:hAnsi="Century Gothic" w:cs="Arial"/>
          <w:b/>
          <w:color w:val="000000"/>
          <w:lang w:val="es-MX" w:eastAsia="es-ES"/>
        </w:rPr>
        <w:t xml:space="preserve"> </w:t>
      </w:r>
      <w:r w:rsidR="00042B30" w:rsidRPr="00A377A6">
        <w:rPr>
          <w:rFonts w:ascii="Century Gothic" w:eastAsia="Times New Roman" w:hAnsi="Century Gothic" w:cs="Arial"/>
          <w:b/>
          <w:color w:val="000000"/>
          <w:lang w:val="es-MX" w:eastAsia="es-ES"/>
        </w:rPr>
        <w:t xml:space="preserve">pesos </w:t>
      </w:r>
      <w:r w:rsidR="002431D5" w:rsidRPr="00A377A6">
        <w:rPr>
          <w:rFonts w:ascii="Century Gothic" w:eastAsia="Times New Roman" w:hAnsi="Century Gothic" w:cs="Arial"/>
          <w:b/>
          <w:color w:val="000000"/>
          <w:lang w:val="es-MX" w:eastAsia="es-ES"/>
        </w:rPr>
        <w:t>79</w:t>
      </w:r>
      <w:r w:rsidR="00042B30" w:rsidRPr="00A377A6">
        <w:rPr>
          <w:rFonts w:ascii="Century Gothic" w:eastAsia="Times New Roman" w:hAnsi="Century Gothic" w:cs="Arial"/>
          <w:b/>
          <w:color w:val="000000"/>
          <w:lang w:val="es-MX" w:eastAsia="es-ES"/>
        </w:rPr>
        <w:t xml:space="preserve">/100 Moneda Nacional) </w:t>
      </w:r>
      <w:r w:rsidRPr="00A377A6">
        <w:rPr>
          <w:rFonts w:ascii="Century Gothic" w:eastAsia="Times New Roman" w:hAnsi="Century Gothic" w:cs="Arial"/>
          <w:color w:val="000000"/>
          <w:lang w:val="es-MX" w:eastAsia="es-ES"/>
        </w:rPr>
        <w:t xml:space="preserve">y por </w:t>
      </w:r>
      <w:r w:rsidRPr="00A377A6">
        <w:rPr>
          <w:rFonts w:ascii="Century Gothic" w:eastAsia="Times New Roman" w:hAnsi="Century Gothic" w:cs="Arial"/>
          <w:b/>
          <w:color w:val="000000"/>
          <w:lang w:val="es-MX" w:eastAsia="es-ES"/>
        </w:rPr>
        <w:t>Otros Derechos y Accesorios de Derechos</w:t>
      </w:r>
      <w:r w:rsidRPr="00A377A6">
        <w:rPr>
          <w:rFonts w:ascii="Century Gothic" w:eastAsia="Times New Roman" w:hAnsi="Century Gothic" w:cs="Arial"/>
          <w:color w:val="000000"/>
          <w:lang w:val="es-MX" w:eastAsia="es-ES"/>
        </w:rPr>
        <w:t xml:space="preserve"> la cantidad de: </w:t>
      </w:r>
      <w:r w:rsidR="002431D5" w:rsidRPr="00A377A6">
        <w:rPr>
          <w:rFonts w:ascii="Century Gothic" w:eastAsia="Times New Roman" w:hAnsi="Century Gothic" w:cs="Arial"/>
          <w:b/>
          <w:color w:val="000000"/>
          <w:lang w:val="es-MX" w:eastAsia="es-ES"/>
        </w:rPr>
        <w:t xml:space="preserve">$7,340,749.91 </w:t>
      </w:r>
      <w:r w:rsidR="00042B30" w:rsidRPr="00A377A6">
        <w:rPr>
          <w:rFonts w:ascii="Century Gothic" w:eastAsia="Times New Roman" w:hAnsi="Century Gothic" w:cs="Arial"/>
          <w:b/>
          <w:color w:val="000000"/>
          <w:lang w:val="es-MX" w:eastAsia="es-ES"/>
        </w:rPr>
        <w:t>(</w:t>
      </w:r>
      <w:r w:rsidR="002431D5" w:rsidRPr="00A377A6">
        <w:rPr>
          <w:rFonts w:ascii="Century Gothic" w:eastAsia="Times New Roman" w:hAnsi="Century Gothic" w:cs="Arial"/>
          <w:b/>
          <w:color w:val="000000"/>
          <w:lang w:val="es-MX" w:eastAsia="es-ES"/>
        </w:rPr>
        <w:t>Siete millones trescientos cuarenta mil setecientos cuarenta y nueve</w:t>
      </w:r>
      <w:r w:rsidR="000B1A05" w:rsidRPr="00A377A6">
        <w:rPr>
          <w:rFonts w:ascii="Century Gothic" w:eastAsia="Times New Roman" w:hAnsi="Century Gothic" w:cs="Arial"/>
          <w:b/>
          <w:color w:val="000000"/>
          <w:lang w:val="es-MX" w:eastAsia="es-ES"/>
        </w:rPr>
        <w:t xml:space="preserve"> </w:t>
      </w:r>
      <w:r w:rsidR="00042B30" w:rsidRPr="00A377A6">
        <w:rPr>
          <w:rFonts w:ascii="Century Gothic" w:eastAsia="Times New Roman" w:hAnsi="Century Gothic" w:cs="Arial"/>
          <w:b/>
          <w:color w:val="000000"/>
          <w:lang w:val="es-MX" w:eastAsia="es-ES"/>
        </w:rPr>
        <w:t xml:space="preserve">pesos </w:t>
      </w:r>
      <w:r w:rsidR="002431D5" w:rsidRPr="00A377A6">
        <w:rPr>
          <w:rFonts w:ascii="Century Gothic" w:eastAsia="Times New Roman" w:hAnsi="Century Gothic" w:cs="Arial"/>
          <w:b/>
          <w:color w:val="000000"/>
          <w:lang w:val="es-MX" w:eastAsia="es-ES"/>
        </w:rPr>
        <w:t>91</w:t>
      </w:r>
      <w:r w:rsidR="00042B30" w:rsidRPr="00A377A6">
        <w:rPr>
          <w:rFonts w:ascii="Century Gothic" w:eastAsia="Times New Roman" w:hAnsi="Century Gothic" w:cs="Arial"/>
          <w:b/>
          <w:color w:val="000000"/>
          <w:lang w:val="es-MX" w:eastAsia="es-ES"/>
        </w:rPr>
        <w:t>/100 Moneda Nacional).</w:t>
      </w:r>
    </w:p>
    <w:p w:rsidR="000A2FD4" w:rsidRPr="00A377A6" w:rsidRDefault="000A2FD4" w:rsidP="00CA692E">
      <w:pPr>
        <w:spacing w:line="360" w:lineRule="auto"/>
        <w:ind w:firstLine="720"/>
        <w:jc w:val="both"/>
        <w:rPr>
          <w:rFonts w:ascii="Century Gothic" w:eastAsia="Times New Roman" w:hAnsi="Century Gothic" w:cs="Arial"/>
          <w:b/>
          <w:color w:val="000000"/>
          <w:lang w:val="es-MX" w:eastAsia="es-ES"/>
        </w:rPr>
      </w:pPr>
    </w:p>
    <w:p w:rsidR="00E92294" w:rsidRPr="0050035B" w:rsidRDefault="00256083" w:rsidP="00CA692E">
      <w:pPr>
        <w:spacing w:line="360" w:lineRule="auto"/>
        <w:ind w:firstLine="720"/>
        <w:jc w:val="both"/>
        <w:rPr>
          <w:rFonts w:ascii="Century Gothic" w:hAnsi="Century Gothic"/>
          <w:lang w:val="es-MX"/>
        </w:rPr>
      </w:pPr>
      <w:r w:rsidRPr="00A377A6">
        <w:rPr>
          <w:rFonts w:ascii="Century Gothic" w:hAnsi="Century Gothic"/>
          <w:lang w:val="es-MX"/>
        </w:rPr>
        <w:t xml:space="preserve">En la tabla </w:t>
      </w:r>
      <w:r w:rsidR="00762946" w:rsidRPr="00A377A6">
        <w:rPr>
          <w:rFonts w:ascii="Century Gothic" w:hAnsi="Century Gothic"/>
          <w:lang w:val="es-MX"/>
        </w:rPr>
        <w:t>4.5.</w:t>
      </w:r>
      <w:r w:rsidR="003D3DD4" w:rsidRPr="00A377A6">
        <w:rPr>
          <w:rFonts w:ascii="Century Gothic" w:hAnsi="Century Gothic"/>
          <w:lang w:val="es-MX"/>
        </w:rPr>
        <w:t xml:space="preserve"> es posible apreciar la tasa de crecimiento de los ingresos por concepto de Derechos dentro de sus diversos</w:t>
      </w:r>
      <w:r w:rsidR="003D3DD4" w:rsidRPr="0050035B">
        <w:rPr>
          <w:rFonts w:ascii="Century Gothic" w:hAnsi="Century Gothic"/>
          <w:lang w:val="es-MX"/>
        </w:rPr>
        <w:t xml:space="preserve"> tipos, además la tabla nos presenta un análisis histórico de los ingresos por concepto de derechos en el periodo 20</w:t>
      </w:r>
      <w:r w:rsidR="002431D5">
        <w:rPr>
          <w:rFonts w:ascii="Century Gothic" w:hAnsi="Century Gothic"/>
          <w:lang w:val="es-MX"/>
        </w:rPr>
        <w:t>20</w:t>
      </w:r>
      <w:r w:rsidR="000B1A05" w:rsidRPr="0050035B">
        <w:rPr>
          <w:rFonts w:ascii="Century Gothic" w:hAnsi="Century Gothic"/>
          <w:lang w:val="es-MX"/>
        </w:rPr>
        <w:t>-202</w:t>
      </w:r>
      <w:r w:rsidR="002431D5">
        <w:rPr>
          <w:rFonts w:ascii="Century Gothic" w:hAnsi="Century Gothic"/>
          <w:lang w:val="es-MX"/>
        </w:rPr>
        <w:t>2</w:t>
      </w:r>
      <w:r w:rsidR="000A2FD4" w:rsidRPr="0050035B">
        <w:rPr>
          <w:rFonts w:ascii="Century Gothic" w:hAnsi="Century Gothic"/>
          <w:lang w:val="es-MX"/>
        </w:rPr>
        <w:t xml:space="preserve">. </w:t>
      </w:r>
      <w:r w:rsidR="00402AF8" w:rsidRPr="0050035B">
        <w:rPr>
          <w:rFonts w:ascii="Century Gothic" w:hAnsi="Century Gothic"/>
          <w:lang w:val="es-MX"/>
        </w:rPr>
        <w:t>Asimismo,</w:t>
      </w:r>
      <w:r w:rsidR="003D3DD4" w:rsidRPr="0050035B">
        <w:rPr>
          <w:rFonts w:ascii="Century Gothic" w:hAnsi="Century Gothic"/>
          <w:lang w:val="es-MX"/>
        </w:rPr>
        <w:t xml:space="preserve"> en comparación con </w:t>
      </w:r>
      <w:r w:rsidR="00402AF8" w:rsidRPr="0050035B">
        <w:rPr>
          <w:rFonts w:ascii="Century Gothic" w:hAnsi="Century Gothic"/>
          <w:lang w:val="es-MX"/>
        </w:rPr>
        <w:t>el presupuesto aprobado</w:t>
      </w:r>
      <w:r w:rsidR="000A2FD4" w:rsidRPr="0050035B">
        <w:rPr>
          <w:rFonts w:ascii="Century Gothic" w:hAnsi="Century Gothic"/>
          <w:lang w:val="es-MX"/>
        </w:rPr>
        <w:t xml:space="preserve"> para</w:t>
      </w:r>
      <w:r w:rsidR="000B1A05" w:rsidRPr="0050035B">
        <w:rPr>
          <w:rFonts w:ascii="Century Gothic" w:hAnsi="Century Gothic"/>
          <w:lang w:val="es-MX"/>
        </w:rPr>
        <w:t xml:space="preserve"> el </w:t>
      </w:r>
      <w:r w:rsidR="00846DE2" w:rsidRPr="0050035B">
        <w:rPr>
          <w:rFonts w:ascii="Century Gothic" w:hAnsi="Century Gothic"/>
          <w:lang w:val="es-MX"/>
        </w:rPr>
        <w:t>202</w:t>
      </w:r>
      <w:r w:rsidR="00F470D9">
        <w:rPr>
          <w:rFonts w:ascii="Century Gothic" w:hAnsi="Century Gothic"/>
          <w:lang w:val="es-MX"/>
        </w:rPr>
        <w:t>1</w:t>
      </w:r>
      <w:r w:rsidR="003D3DD4" w:rsidRPr="0050035B">
        <w:rPr>
          <w:rFonts w:ascii="Century Gothic" w:hAnsi="Century Gothic"/>
          <w:lang w:val="es-MX"/>
        </w:rPr>
        <w:t xml:space="preserve">, es posible apreciar el </w:t>
      </w:r>
      <w:r w:rsidR="00683907" w:rsidRPr="0050035B">
        <w:rPr>
          <w:rFonts w:ascii="Century Gothic" w:hAnsi="Century Gothic"/>
          <w:lang w:val="es-MX"/>
        </w:rPr>
        <w:t xml:space="preserve">decrecimiento en los ingresos por este rubro del </w:t>
      </w:r>
      <w:r w:rsidR="002431D5">
        <w:rPr>
          <w:rFonts w:ascii="Century Gothic" w:hAnsi="Century Gothic"/>
          <w:lang w:val="es-MX"/>
        </w:rPr>
        <w:t>3.55</w:t>
      </w:r>
      <w:r w:rsidR="00683907" w:rsidRPr="0050035B">
        <w:rPr>
          <w:rFonts w:ascii="Century Gothic" w:hAnsi="Century Gothic"/>
          <w:lang w:val="es-MX"/>
        </w:rPr>
        <w:t xml:space="preserve">% </w:t>
      </w:r>
      <w:r w:rsidR="00A377A6" w:rsidRPr="0050035B">
        <w:rPr>
          <w:rFonts w:ascii="Century Gothic" w:hAnsi="Century Gothic"/>
          <w:lang w:val="es-MX"/>
        </w:rPr>
        <w:t>en r</w:t>
      </w:r>
      <w:r w:rsidR="00F470D9">
        <w:rPr>
          <w:rFonts w:ascii="Century Gothic" w:hAnsi="Century Gothic"/>
          <w:lang w:val="es-MX"/>
        </w:rPr>
        <w:t>elación a la proyección para el ejercicio fiscal 2022</w:t>
      </w:r>
      <w:r w:rsidR="00683907" w:rsidRPr="0050035B">
        <w:rPr>
          <w:rFonts w:ascii="Century Gothic" w:hAnsi="Century Gothic"/>
          <w:lang w:val="es-MX"/>
        </w:rPr>
        <w:t>.</w:t>
      </w:r>
    </w:p>
    <w:p w:rsidR="002C6D7D" w:rsidRDefault="002C6D7D" w:rsidP="00A67D3F">
      <w:pPr>
        <w:spacing w:line="360" w:lineRule="auto"/>
        <w:ind w:firstLine="720"/>
        <w:jc w:val="center"/>
        <w:rPr>
          <w:rFonts w:ascii="Century Gothic" w:hAnsi="Century Gothic"/>
          <w:b/>
          <w:sz w:val="22"/>
          <w:szCs w:val="22"/>
          <w:lang w:val="es-MX"/>
        </w:rPr>
      </w:pPr>
    </w:p>
    <w:p w:rsidR="008D7D5A" w:rsidRDefault="008D7D5A" w:rsidP="00A67D3F">
      <w:pPr>
        <w:spacing w:line="360" w:lineRule="auto"/>
        <w:ind w:firstLine="720"/>
        <w:jc w:val="center"/>
        <w:rPr>
          <w:rFonts w:ascii="Century Gothic" w:hAnsi="Century Gothic"/>
          <w:b/>
          <w:sz w:val="22"/>
          <w:szCs w:val="22"/>
          <w:lang w:val="es-MX"/>
        </w:rPr>
      </w:pPr>
    </w:p>
    <w:p w:rsidR="008D7D5A" w:rsidRDefault="008D7D5A" w:rsidP="00A67D3F">
      <w:pPr>
        <w:spacing w:line="360" w:lineRule="auto"/>
        <w:ind w:firstLine="720"/>
        <w:jc w:val="center"/>
        <w:rPr>
          <w:rFonts w:ascii="Century Gothic" w:hAnsi="Century Gothic"/>
          <w:b/>
          <w:sz w:val="22"/>
          <w:szCs w:val="22"/>
          <w:lang w:val="es-MX"/>
        </w:rPr>
      </w:pPr>
    </w:p>
    <w:p w:rsidR="00A67D3F" w:rsidRPr="0050035B" w:rsidRDefault="00A67D3F" w:rsidP="002C6D7D">
      <w:pPr>
        <w:ind w:firstLine="720"/>
        <w:jc w:val="center"/>
        <w:rPr>
          <w:rFonts w:ascii="Century Gothic" w:hAnsi="Century Gothic"/>
          <w:lang w:val="es-MX"/>
        </w:rPr>
      </w:pPr>
      <w:r w:rsidRPr="0050035B">
        <w:rPr>
          <w:rFonts w:ascii="Century Gothic" w:hAnsi="Century Gothic"/>
          <w:b/>
          <w:sz w:val="22"/>
          <w:szCs w:val="22"/>
          <w:lang w:val="es-MX"/>
        </w:rPr>
        <w:lastRenderedPageBreak/>
        <w:t xml:space="preserve">Tabla </w:t>
      </w:r>
      <w:r w:rsidR="00762946" w:rsidRPr="0050035B">
        <w:rPr>
          <w:rFonts w:ascii="Century Gothic" w:hAnsi="Century Gothic"/>
          <w:b/>
          <w:sz w:val="22"/>
          <w:szCs w:val="22"/>
          <w:lang w:val="es-MX"/>
        </w:rPr>
        <w:t>4.5</w:t>
      </w:r>
      <w:r w:rsidR="005267A7" w:rsidRPr="0050035B">
        <w:rPr>
          <w:rFonts w:ascii="Century Gothic" w:hAnsi="Century Gothic"/>
          <w:b/>
          <w:sz w:val="22"/>
          <w:szCs w:val="22"/>
          <w:lang w:val="es-MX"/>
        </w:rPr>
        <w:t>.</w:t>
      </w:r>
      <w:r w:rsidRPr="0050035B">
        <w:rPr>
          <w:rFonts w:ascii="Century Gothic" w:hAnsi="Century Gothic"/>
          <w:b/>
          <w:sz w:val="22"/>
          <w:szCs w:val="22"/>
          <w:lang w:val="es-MX"/>
        </w:rPr>
        <w:t xml:space="preserve"> </w:t>
      </w:r>
      <w:r w:rsidRPr="0050035B">
        <w:rPr>
          <w:rFonts w:ascii="Century Gothic" w:hAnsi="Century Gothic"/>
          <w:sz w:val="22"/>
          <w:szCs w:val="22"/>
          <w:lang w:val="es-MX"/>
        </w:rPr>
        <w:t>Comparativa de ingresos presupuestados por concepto de Derechos, por tipo de derecho (20</w:t>
      </w:r>
      <w:r w:rsidR="005D6A38">
        <w:rPr>
          <w:rFonts w:ascii="Century Gothic" w:hAnsi="Century Gothic"/>
          <w:sz w:val="22"/>
          <w:szCs w:val="22"/>
          <w:lang w:val="es-MX"/>
        </w:rPr>
        <w:t>20</w:t>
      </w:r>
      <w:r w:rsidRPr="0050035B">
        <w:rPr>
          <w:rFonts w:ascii="Century Gothic" w:hAnsi="Century Gothic"/>
          <w:sz w:val="22"/>
          <w:szCs w:val="22"/>
          <w:lang w:val="es-MX"/>
        </w:rPr>
        <w:t xml:space="preserve"> – 20</w:t>
      </w:r>
      <w:r w:rsidR="008F6AF2" w:rsidRPr="0050035B">
        <w:rPr>
          <w:rFonts w:ascii="Century Gothic" w:hAnsi="Century Gothic"/>
          <w:sz w:val="22"/>
          <w:szCs w:val="22"/>
          <w:lang w:val="es-MX"/>
        </w:rPr>
        <w:t>2</w:t>
      </w:r>
      <w:r w:rsidR="002418AE">
        <w:rPr>
          <w:rFonts w:ascii="Century Gothic" w:hAnsi="Century Gothic"/>
          <w:sz w:val="22"/>
          <w:szCs w:val="22"/>
          <w:lang w:val="es-MX"/>
        </w:rPr>
        <w:t>2</w:t>
      </w:r>
      <w:r w:rsidR="005B2134" w:rsidRPr="0050035B">
        <w:rPr>
          <w:rFonts w:ascii="Century Gothic" w:hAnsi="Century Gothic"/>
          <w:sz w:val="22"/>
          <w:szCs w:val="22"/>
          <w:lang w:val="es-MX"/>
        </w:rPr>
        <w:t>)</w:t>
      </w:r>
    </w:p>
    <w:tbl>
      <w:tblPr>
        <w:tblW w:w="9142" w:type="dxa"/>
        <w:jc w:val="right"/>
        <w:tblLayout w:type="fixed"/>
        <w:tblCellMar>
          <w:left w:w="70" w:type="dxa"/>
          <w:right w:w="70" w:type="dxa"/>
        </w:tblCellMar>
        <w:tblLook w:val="04A0" w:firstRow="1" w:lastRow="0" w:firstColumn="1" w:lastColumn="0" w:noHBand="0" w:noVBand="1"/>
      </w:tblPr>
      <w:tblGrid>
        <w:gridCol w:w="3221"/>
        <w:gridCol w:w="1417"/>
        <w:gridCol w:w="1418"/>
        <w:gridCol w:w="1417"/>
        <w:gridCol w:w="1669"/>
      </w:tblGrid>
      <w:tr w:rsidR="00846DE2" w:rsidRPr="0050035B" w:rsidTr="00E44364">
        <w:trPr>
          <w:trHeight w:val="640"/>
          <w:jc w:val="right"/>
        </w:trPr>
        <w:tc>
          <w:tcPr>
            <w:tcW w:w="3221" w:type="dxa"/>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846DE2" w:rsidRPr="00E44364" w:rsidRDefault="00846DE2" w:rsidP="00846DE2">
            <w:pPr>
              <w:jc w:val="center"/>
              <w:rPr>
                <w:rFonts w:ascii="Century Gothic" w:eastAsia="Times New Roman" w:hAnsi="Century Gothic" w:cs="Arial"/>
                <w:b/>
                <w:bCs/>
                <w:color w:val="000000" w:themeColor="text1"/>
                <w:sz w:val="18"/>
                <w:szCs w:val="18"/>
                <w:lang w:val="es-MX" w:eastAsia="es-ES"/>
              </w:rPr>
            </w:pPr>
            <w:r w:rsidRPr="00E44364">
              <w:rPr>
                <w:rFonts w:ascii="Century Gothic" w:eastAsia="Times New Roman" w:hAnsi="Century Gothic" w:cs="Arial"/>
                <w:b/>
                <w:bCs/>
                <w:color w:val="000000" w:themeColor="text1"/>
                <w:sz w:val="18"/>
                <w:szCs w:val="18"/>
                <w:lang w:val="es-MX" w:eastAsia="es-ES"/>
              </w:rPr>
              <w:t>CONCEPTO</w:t>
            </w:r>
          </w:p>
        </w:tc>
        <w:tc>
          <w:tcPr>
            <w:tcW w:w="1417" w:type="dxa"/>
            <w:tcBorders>
              <w:top w:val="single" w:sz="8" w:space="0" w:color="auto"/>
              <w:left w:val="nil"/>
              <w:bottom w:val="single" w:sz="4" w:space="0" w:color="auto"/>
              <w:right w:val="single" w:sz="8" w:space="0" w:color="auto"/>
            </w:tcBorders>
            <w:shd w:val="clear" w:color="auto" w:fill="FABF8F" w:themeFill="accent6" w:themeFillTint="99"/>
            <w:vAlign w:val="center"/>
            <w:hideMark/>
          </w:tcPr>
          <w:p w:rsidR="00846DE2" w:rsidRPr="00E44364" w:rsidRDefault="00846DE2" w:rsidP="002431D5">
            <w:pPr>
              <w:jc w:val="center"/>
              <w:rPr>
                <w:rFonts w:ascii="Century Gothic" w:eastAsia="Times New Roman" w:hAnsi="Century Gothic" w:cs="Arial"/>
                <w:b/>
                <w:bCs/>
                <w:color w:val="000000" w:themeColor="text1"/>
                <w:sz w:val="16"/>
                <w:szCs w:val="16"/>
                <w:highlight w:val="yellow"/>
                <w:lang w:val="es-MX" w:eastAsia="es-ES"/>
              </w:rPr>
            </w:pPr>
            <w:r w:rsidRPr="00E44364">
              <w:rPr>
                <w:rFonts w:ascii="Century Gothic" w:hAnsi="Century Gothic"/>
                <w:b/>
                <w:color w:val="000000" w:themeColor="text1"/>
                <w:sz w:val="16"/>
                <w:szCs w:val="16"/>
                <w:lang w:val="es-MX"/>
              </w:rPr>
              <w:t>Presupuesto aprobado 20</w:t>
            </w:r>
            <w:r w:rsidR="002431D5" w:rsidRPr="00E44364">
              <w:rPr>
                <w:rFonts w:ascii="Century Gothic" w:hAnsi="Century Gothic"/>
                <w:b/>
                <w:color w:val="000000" w:themeColor="text1"/>
                <w:sz w:val="16"/>
                <w:szCs w:val="16"/>
                <w:lang w:val="es-MX"/>
              </w:rPr>
              <w:t>20</w:t>
            </w:r>
          </w:p>
        </w:tc>
        <w:tc>
          <w:tcPr>
            <w:tcW w:w="1418" w:type="dxa"/>
            <w:tcBorders>
              <w:top w:val="single" w:sz="8" w:space="0" w:color="auto"/>
              <w:left w:val="nil"/>
              <w:bottom w:val="single" w:sz="4" w:space="0" w:color="auto"/>
              <w:right w:val="single" w:sz="8" w:space="0" w:color="auto"/>
            </w:tcBorders>
            <w:shd w:val="clear" w:color="auto" w:fill="FABF8F" w:themeFill="accent6" w:themeFillTint="99"/>
            <w:vAlign w:val="center"/>
          </w:tcPr>
          <w:p w:rsidR="00846DE2" w:rsidRPr="00E44364" w:rsidRDefault="00846DE2" w:rsidP="002431D5">
            <w:pPr>
              <w:jc w:val="center"/>
              <w:rPr>
                <w:rFonts w:ascii="Century Gothic" w:eastAsia="Times New Roman" w:hAnsi="Century Gothic" w:cs="Arial"/>
                <w:b/>
                <w:bCs/>
                <w:color w:val="000000" w:themeColor="text1"/>
                <w:sz w:val="16"/>
                <w:szCs w:val="16"/>
                <w:highlight w:val="yellow"/>
                <w:lang w:val="es-MX" w:eastAsia="es-ES"/>
              </w:rPr>
            </w:pPr>
            <w:r w:rsidRPr="00E44364">
              <w:rPr>
                <w:rFonts w:ascii="Century Gothic" w:hAnsi="Century Gothic"/>
                <w:b/>
                <w:color w:val="000000" w:themeColor="text1"/>
                <w:sz w:val="18"/>
                <w:szCs w:val="16"/>
                <w:lang w:val="es-MX"/>
              </w:rPr>
              <w:t>Presupuesto aprobado 202</w:t>
            </w:r>
            <w:r w:rsidR="002431D5" w:rsidRPr="00E44364">
              <w:rPr>
                <w:rFonts w:ascii="Century Gothic" w:hAnsi="Century Gothic"/>
                <w:b/>
                <w:color w:val="000000" w:themeColor="text1"/>
                <w:sz w:val="18"/>
                <w:szCs w:val="16"/>
                <w:lang w:val="es-MX"/>
              </w:rPr>
              <w:t>1</w:t>
            </w:r>
          </w:p>
        </w:tc>
        <w:tc>
          <w:tcPr>
            <w:tcW w:w="1417" w:type="dxa"/>
            <w:tcBorders>
              <w:top w:val="single" w:sz="8" w:space="0" w:color="auto"/>
              <w:left w:val="nil"/>
              <w:bottom w:val="single" w:sz="4" w:space="0" w:color="auto"/>
              <w:right w:val="single" w:sz="8" w:space="0" w:color="auto"/>
            </w:tcBorders>
            <w:shd w:val="clear" w:color="auto" w:fill="FABF8F" w:themeFill="accent6" w:themeFillTint="99"/>
            <w:vAlign w:val="center"/>
          </w:tcPr>
          <w:p w:rsidR="00846DE2" w:rsidRPr="00E44364" w:rsidRDefault="00846DE2" w:rsidP="002431D5">
            <w:pPr>
              <w:jc w:val="center"/>
              <w:rPr>
                <w:rFonts w:ascii="Century Gothic" w:eastAsia="Times New Roman" w:hAnsi="Century Gothic" w:cs="Arial"/>
                <w:color w:val="000000" w:themeColor="text1"/>
                <w:sz w:val="16"/>
                <w:szCs w:val="16"/>
                <w:highlight w:val="yellow"/>
                <w:lang w:val="es-MX"/>
              </w:rPr>
            </w:pPr>
            <w:r w:rsidRPr="00E44364">
              <w:rPr>
                <w:rFonts w:ascii="Century Gothic" w:eastAsia="Times New Roman" w:hAnsi="Century Gothic" w:cs="Arial"/>
                <w:b/>
                <w:color w:val="000000" w:themeColor="text1"/>
                <w:sz w:val="18"/>
                <w:szCs w:val="16"/>
                <w:lang w:val="es-MX" w:eastAsia="es-MX"/>
              </w:rPr>
              <w:t>Proyecto de Presupuesto 202</w:t>
            </w:r>
            <w:r w:rsidR="002431D5" w:rsidRPr="00E44364">
              <w:rPr>
                <w:rFonts w:ascii="Century Gothic" w:eastAsia="Times New Roman" w:hAnsi="Century Gothic" w:cs="Arial"/>
                <w:b/>
                <w:color w:val="000000" w:themeColor="text1"/>
                <w:sz w:val="18"/>
                <w:szCs w:val="16"/>
                <w:lang w:val="es-MX" w:eastAsia="es-MX"/>
              </w:rPr>
              <w:t>2</w:t>
            </w:r>
          </w:p>
        </w:tc>
        <w:tc>
          <w:tcPr>
            <w:tcW w:w="1669" w:type="dxa"/>
            <w:tcBorders>
              <w:top w:val="single" w:sz="8" w:space="0" w:color="auto"/>
              <w:left w:val="nil"/>
              <w:bottom w:val="single" w:sz="4" w:space="0" w:color="auto"/>
              <w:right w:val="single" w:sz="8" w:space="0" w:color="auto"/>
            </w:tcBorders>
            <w:shd w:val="clear" w:color="auto" w:fill="FABF8F" w:themeFill="accent6" w:themeFillTint="99"/>
            <w:vAlign w:val="center"/>
          </w:tcPr>
          <w:p w:rsidR="00846DE2" w:rsidRPr="00E44364" w:rsidRDefault="00846DE2" w:rsidP="002431D5">
            <w:pPr>
              <w:jc w:val="center"/>
              <w:rPr>
                <w:rFonts w:ascii="Century Gothic" w:eastAsia="Times New Roman" w:hAnsi="Century Gothic" w:cs="Arial"/>
                <w:b/>
                <w:bCs/>
                <w:color w:val="000000" w:themeColor="text1"/>
                <w:sz w:val="16"/>
                <w:szCs w:val="16"/>
                <w:highlight w:val="yellow"/>
                <w:lang w:val="es-MX" w:eastAsia="es-ES"/>
              </w:rPr>
            </w:pPr>
            <w:r w:rsidRPr="00E44364">
              <w:rPr>
                <w:rFonts w:ascii="Century Gothic" w:eastAsia="Times New Roman" w:hAnsi="Century Gothic" w:cs="Arial"/>
                <w:b/>
                <w:color w:val="000000" w:themeColor="text1"/>
                <w:sz w:val="16"/>
                <w:szCs w:val="16"/>
                <w:lang w:val="es-MX" w:eastAsia="es-MX"/>
              </w:rPr>
              <w:t>Tasa de Crecimiento (TdC) 202</w:t>
            </w:r>
            <w:r w:rsidR="002431D5" w:rsidRPr="00E44364">
              <w:rPr>
                <w:rFonts w:ascii="Century Gothic" w:eastAsia="Times New Roman" w:hAnsi="Century Gothic" w:cs="Arial"/>
                <w:b/>
                <w:color w:val="000000" w:themeColor="text1"/>
                <w:sz w:val="16"/>
                <w:szCs w:val="16"/>
                <w:lang w:val="es-MX" w:eastAsia="es-MX"/>
              </w:rPr>
              <w:t>2</w:t>
            </w:r>
            <w:r w:rsidRPr="00E44364">
              <w:rPr>
                <w:rFonts w:ascii="Century Gothic" w:eastAsia="Times New Roman" w:hAnsi="Century Gothic" w:cs="Arial"/>
                <w:b/>
                <w:color w:val="000000" w:themeColor="text1"/>
                <w:sz w:val="16"/>
                <w:szCs w:val="16"/>
                <w:lang w:val="es-MX" w:eastAsia="es-MX"/>
              </w:rPr>
              <w:t xml:space="preserve"> respecto 202</w:t>
            </w:r>
            <w:r w:rsidR="002431D5" w:rsidRPr="00E44364">
              <w:rPr>
                <w:rFonts w:ascii="Century Gothic" w:eastAsia="Times New Roman" w:hAnsi="Century Gothic" w:cs="Arial"/>
                <w:b/>
                <w:color w:val="000000" w:themeColor="text1"/>
                <w:sz w:val="16"/>
                <w:szCs w:val="16"/>
                <w:lang w:val="es-MX" w:eastAsia="es-MX"/>
              </w:rPr>
              <w:t>1</w:t>
            </w:r>
          </w:p>
        </w:tc>
      </w:tr>
      <w:tr w:rsidR="002431D5" w:rsidRPr="0050035B" w:rsidTr="00734847">
        <w:trPr>
          <w:trHeight w:val="1167"/>
          <w:jc w:val="right"/>
        </w:trPr>
        <w:tc>
          <w:tcPr>
            <w:tcW w:w="3221" w:type="dxa"/>
            <w:tcBorders>
              <w:top w:val="nil"/>
              <w:left w:val="single" w:sz="8" w:space="0" w:color="auto"/>
              <w:bottom w:val="single" w:sz="4" w:space="0" w:color="auto"/>
              <w:right w:val="single" w:sz="4" w:space="0" w:color="auto"/>
            </w:tcBorders>
            <w:shd w:val="clear" w:color="auto" w:fill="595959" w:themeFill="text1" w:themeFillTint="A6"/>
            <w:vAlign w:val="center"/>
            <w:hideMark/>
          </w:tcPr>
          <w:p w:rsidR="002431D5" w:rsidRPr="0050035B" w:rsidRDefault="002431D5" w:rsidP="002431D5">
            <w:pPr>
              <w:jc w:val="center"/>
              <w:rPr>
                <w:rFonts w:ascii="Century Gothic" w:eastAsia="Times New Roman" w:hAnsi="Century Gothic" w:cs="Arial"/>
                <w:b/>
                <w:color w:val="FFFFFF" w:themeColor="background1"/>
                <w:sz w:val="18"/>
                <w:szCs w:val="18"/>
                <w:lang w:val="es-MX" w:eastAsia="es-ES"/>
              </w:rPr>
            </w:pPr>
            <w:r w:rsidRPr="0050035B">
              <w:rPr>
                <w:rFonts w:ascii="Century Gothic" w:eastAsia="Times New Roman" w:hAnsi="Century Gothic" w:cs="Arial"/>
                <w:b/>
                <w:color w:val="FFFFFF" w:themeColor="background1"/>
                <w:sz w:val="18"/>
                <w:szCs w:val="18"/>
                <w:lang w:val="es-MX" w:eastAsia="es-ES"/>
              </w:rPr>
              <w:t>Derechos por el uso, goce, aprovechamiento o explotación de bienes de dominio público</w:t>
            </w:r>
          </w:p>
        </w:tc>
        <w:tc>
          <w:tcPr>
            <w:tcW w:w="1417" w:type="dxa"/>
            <w:tcBorders>
              <w:top w:val="nil"/>
              <w:left w:val="nil"/>
              <w:bottom w:val="single" w:sz="4" w:space="0" w:color="auto"/>
              <w:right w:val="single" w:sz="8" w:space="0" w:color="auto"/>
            </w:tcBorders>
            <w:shd w:val="clear" w:color="auto" w:fill="auto"/>
            <w:noWrap/>
            <w:vAlign w:val="center"/>
            <w:hideMark/>
          </w:tcPr>
          <w:p w:rsidR="002431D5" w:rsidRPr="002431D5" w:rsidRDefault="002431D5" w:rsidP="002431D5">
            <w:pPr>
              <w:jc w:val="right"/>
              <w:rPr>
                <w:rFonts w:ascii="Century Gothic" w:eastAsia="Times New Roman" w:hAnsi="Century Gothic" w:cs="Arial"/>
                <w:strike/>
                <w:color w:val="000000"/>
                <w:sz w:val="16"/>
                <w:szCs w:val="16"/>
                <w:highlight w:val="yellow"/>
                <w:lang w:val="es-MX" w:eastAsia="es-ES"/>
              </w:rPr>
            </w:pPr>
            <w:r w:rsidRPr="002431D5">
              <w:rPr>
                <w:rFonts w:ascii="Century Gothic" w:hAnsi="Century Gothic" w:cs="Calibri"/>
                <w:color w:val="000000"/>
                <w:sz w:val="16"/>
                <w:szCs w:val="18"/>
              </w:rPr>
              <w:t>$124,626,099.47</w:t>
            </w:r>
          </w:p>
        </w:tc>
        <w:tc>
          <w:tcPr>
            <w:tcW w:w="1418" w:type="dxa"/>
            <w:tcBorders>
              <w:top w:val="nil"/>
              <w:left w:val="nil"/>
              <w:bottom w:val="single" w:sz="4" w:space="0" w:color="auto"/>
              <w:right w:val="single" w:sz="8" w:space="0" w:color="auto"/>
            </w:tcBorders>
            <w:vAlign w:val="center"/>
          </w:tcPr>
          <w:p w:rsidR="002431D5" w:rsidRPr="002431D5" w:rsidRDefault="002431D5" w:rsidP="002431D5">
            <w:pPr>
              <w:jc w:val="right"/>
              <w:rPr>
                <w:rFonts w:ascii="Century Gothic" w:eastAsia="Times New Roman" w:hAnsi="Century Gothic" w:cs="Arial"/>
                <w:strike/>
                <w:color w:val="000000"/>
                <w:sz w:val="16"/>
                <w:szCs w:val="16"/>
                <w:highlight w:val="yellow"/>
                <w:lang w:val="es-MX" w:eastAsia="es-ES"/>
              </w:rPr>
            </w:pPr>
            <w:r w:rsidRPr="002431D5">
              <w:rPr>
                <w:rFonts w:ascii="Century Gothic" w:hAnsi="Century Gothic" w:cs="Calibri"/>
                <w:color w:val="000000"/>
                <w:sz w:val="16"/>
                <w:szCs w:val="18"/>
              </w:rPr>
              <w:t>$122,164,483.68</w:t>
            </w:r>
          </w:p>
        </w:tc>
        <w:tc>
          <w:tcPr>
            <w:tcW w:w="1417" w:type="dxa"/>
            <w:tcBorders>
              <w:top w:val="nil"/>
              <w:left w:val="nil"/>
              <w:bottom w:val="single" w:sz="4" w:space="0" w:color="auto"/>
              <w:right w:val="single" w:sz="8" w:space="0" w:color="auto"/>
            </w:tcBorders>
            <w:vAlign w:val="center"/>
          </w:tcPr>
          <w:p w:rsidR="002431D5" w:rsidRPr="002431D5" w:rsidRDefault="002431D5" w:rsidP="006E4F2B">
            <w:pPr>
              <w:jc w:val="right"/>
              <w:rPr>
                <w:rFonts w:ascii="Century Gothic" w:eastAsia="Times New Roman" w:hAnsi="Century Gothic" w:cs="Arial"/>
                <w:strike/>
                <w:color w:val="000000"/>
                <w:sz w:val="16"/>
                <w:szCs w:val="16"/>
                <w:highlight w:val="yellow"/>
                <w:lang w:val="es-MX" w:eastAsia="es-ES"/>
              </w:rPr>
            </w:pPr>
            <w:r w:rsidRPr="002431D5">
              <w:rPr>
                <w:rFonts w:ascii="Century Gothic" w:hAnsi="Century Gothic" w:cs="Calibri"/>
                <w:color w:val="000000"/>
                <w:sz w:val="16"/>
                <w:szCs w:val="18"/>
              </w:rPr>
              <w:t>$114,597,839.49</w:t>
            </w:r>
          </w:p>
        </w:tc>
        <w:tc>
          <w:tcPr>
            <w:tcW w:w="1669" w:type="dxa"/>
            <w:tcBorders>
              <w:top w:val="nil"/>
              <w:left w:val="nil"/>
              <w:bottom w:val="single" w:sz="4" w:space="0" w:color="auto"/>
              <w:right w:val="single" w:sz="8" w:space="0" w:color="auto"/>
            </w:tcBorders>
            <w:vAlign w:val="center"/>
          </w:tcPr>
          <w:p w:rsidR="002431D5" w:rsidRPr="002431D5" w:rsidRDefault="002431D5" w:rsidP="002431D5">
            <w:pPr>
              <w:jc w:val="center"/>
              <w:rPr>
                <w:rFonts w:ascii="Century Gothic" w:eastAsia="Times New Roman" w:hAnsi="Century Gothic" w:cs="Arial"/>
                <w:strike/>
                <w:color w:val="000000"/>
                <w:sz w:val="16"/>
                <w:szCs w:val="16"/>
                <w:highlight w:val="yellow"/>
                <w:lang w:val="es-MX" w:eastAsia="es-ES"/>
              </w:rPr>
            </w:pPr>
            <w:r w:rsidRPr="002431D5">
              <w:rPr>
                <w:rFonts w:ascii="Century Gothic" w:hAnsi="Century Gothic" w:cs="Calibri"/>
                <w:color w:val="000000"/>
                <w:sz w:val="16"/>
                <w:szCs w:val="18"/>
              </w:rPr>
              <w:t>-6.19%</w:t>
            </w:r>
          </w:p>
        </w:tc>
      </w:tr>
      <w:tr w:rsidR="002431D5" w:rsidRPr="0050035B" w:rsidTr="00734847">
        <w:trPr>
          <w:trHeight w:val="320"/>
          <w:jc w:val="right"/>
        </w:trPr>
        <w:tc>
          <w:tcPr>
            <w:tcW w:w="3221" w:type="dxa"/>
            <w:tcBorders>
              <w:top w:val="nil"/>
              <w:left w:val="single" w:sz="8" w:space="0" w:color="auto"/>
              <w:bottom w:val="single" w:sz="4" w:space="0" w:color="auto"/>
              <w:right w:val="single" w:sz="4" w:space="0" w:color="auto"/>
            </w:tcBorders>
            <w:shd w:val="clear" w:color="auto" w:fill="595959" w:themeFill="text1" w:themeFillTint="A6"/>
            <w:vAlign w:val="center"/>
            <w:hideMark/>
          </w:tcPr>
          <w:p w:rsidR="002431D5" w:rsidRPr="0050035B" w:rsidRDefault="002431D5" w:rsidP="002431D5">
            <w:pPr>
              <w:jc w:val="center"/>
              <w:rPr>
                <w:rFonts w:ascii="Century Gothic" w:eastAsia="Times New Roman" w:hAnsi="Century Gothic" w:cs="Arial"/>
                <w:b/>
                <w:color w:val="FFFFFF" w:themeColor="background1"/>
                <w:sz w:val="18"/>
                <w:szCs w:val="18"/>
                <w:lang w:val="es-MX" w:eastAsia="es-ES"/>
              </w:rPr>
            </w:pPr>
            <w:r w:rsidRPr="0050035B">
              <w:rPr>
                <w:rFonts w:ascii="Century Gothic" w:eastAsia="Times New Roman" w:hAnsi="Century Gothic" w:cs="Arial"/>
                <w:b/>
                <w:color w:val="FFFFFF" w:themeColor="background1"/>
                <w:sz w:val="18"/>
                <w:szCs w:val="18"/>
                <w:lang w:val="es-MX" w:eastAsia="es-ES"/>
              </w:rPr>
              <w:t>Derechos por prestación de servicios</w:t>
            </w:r>
          </w:p>
        </w:tc>
        <w:tc>
          <w:tcPr>
            <w:tcW w:w="1417" w:type="dxa"/>
            <w:tcBorders>
              <w:top w:val="nil"/>
              <w:left w:val="nil"/>
              <w:bottom w:val="single" w:sz="4" w:space="0" w:color="auto"/>
              <w:right w:val="single" w:sz="8" w:space="0" w:color="auto"/>
            </w:tcBorders>
            <w:shd w:val="clear" w:color="auto" w:fill="auto"/>
            <w:noWrap/>
            <w:vAlign w:val="center"/>
            <w:hideMark/>
          </w:tcPr>
          <w:p w:rsidR="002431D5" w:rsidRPr="002431D5" w:rsidRDefault="002431D5" w:rsidP="002431D5">
            <w:pPr>
              <w:jc w:val="right"/>
              <w:rPr>
                <w:rFonts w:ascii="Century Gothic" w:eastAsia="Times New Roman" w:hAnsi="Century Gothic" w:cs="Arial"/>
                <w:strike/>
                <w:color w:val="000000"/>
                <w:sz w:val="16"/>
                <w:szCs w:val="16"/>
                <w:highlight w:val="yellow"/>
                <w:lang w:val="es-MX" w:eastAsia="es-ES"/>
              </w:rPr>
            </w:pPr>
            <w:r w:rsidRPr="002431D5">
              <w:rPr>
                <w:rFonts w:ascii="Century Gothic" w:hAnsi="Century Gothic" w:cs="Calibri"/>
                <w:color w:val="000000"/>
                <w:sz w:val="16"/>
                <w:szCs w:val="18"/>
              </w:rPr>
              <w:t>$173,956,330.84</w:t>
            </w:r>
          </w:p>
        </w:tc>
        <w:tc>
          <w:tcPr>
            <w:tcW w:w="1418" w:type="dxa"/>
            <w:tcBorders>
              <w:top w:val="nil"/>
              <w:left w:val="nil"/>
              <w:bottom w:val="single" w:sz="4" w:space="0" w:color="auto"/>
              <w:right w:val="single" w:sz="8" w:space="0" w:color="auto"/>
            </w:tcBorders>
            <w:vAlign w:val="center"/>
          </w:tcPr>
          <w:p w:rsidR="002431D5" w:rsidRPr="002431D5" w:rsidRDefault="002431D5" w:rsidP="002431D5">
            <w:pPr>
              <w:jc w:val="right"/>
              <w:rPr>
                <w:rFonts w:ascii="Century Gothic" w:eastAsia="Times New Roman" w:hAnsi="Century Gothic" w:cs="Arial"/>
                <w:strike/>
                <w:color w:val="000000"/>
                <w:sz w:val="16"/>
                <w:szCs w:val="16"/>
                <w:highlight w:val="yellow"/>
                <w:lang w:val="es-MX" w:eastAsia="es-ES"/>
              </w:rPr>
            </w:pPr>
            <w:r w:rsidRPr="002431D5">
              <w:rPr>
                <w:rFonts w:ascii="Century Gothic" w:hAnsi="Century Gothic" w:cs="Calibri"/>
                <w:color w:val="000000"/>
                <w:sz w:val="16"/>
                <w:szCs w:val="18"/>
              </w:rPr>
              <w:t>$150,345,678.96</w:t>
            </w:r>
          </w:p>
        </w:tc>
        <w:tc>
          <w:tcPr>
            <w:tcW w:w="1417" w:type="dxa"/>
            <w:tcBorders>
              <w:top w:val="nil"/>
              <w:left w:val="nil"/>
              <w:bottom w:val="single" w:sz="4" w:space="0" w:color="auto"/>
              <w:right w:val="single" w:sz="8" w:space="0" w:color="auto"/>
            </w:tcBorders>
            <w:vAlign w:val="center"/>
          </w:tcPr>
          <w:p w:rsidR="002431D5" w:rsidRPr="002431D5" w:rsidRDefault="002431D5" w:rsidP="006E4F2B">
            <w:pPr>
              <w:jc w:val="right"/>
              <w:rPr>
                <w:rFonts w:ascii="Century Gothic" w:eastAsia="Times New Roman" w:hAnsi="Century Gothic" w:cs="Arial"/>
                <w:strike/>
                <w:color w:val="000000"/>
                <w:sz w:val="16"/>
                <w:szCs w:val="16"/>
                <w:highlight w:val="yellow"/>
                <w:lang w:val="es-MX" w:eastAsia="es-ES"/>
              </w:rPr>
            </w:pPr>
            <w:r w:rsidRPr="002431D5">
              <w:rPr>
                <w:rFonts w:ascii="Century Gothic" w:hAnsi="Century Gothic" w:cs="Calibri"/>
                <w:color w:val="000000"/>
                <w:sz w:val="16"/>
                <w:szCs w:val="18"/>
              </w:rPr>
              <w:t>$146,276,114.79</w:t>
            </w:r>
          </w:p>
        </w:tc>
        <w:tc>
          <w:tcPr>
            <w:tcW w:w="1669" w:type="dxa"/>
            <w:tcBorders>
              <w:top w:val="nil"/>
              <w:left w:val="nil"/>
              <w:bottom w:val="single" w:sz="4" w:space="0" w:color="auto"/>
              <w:right w:val="single" w:sz="8" w:space="0" w:color="auto"/>
            </w:tcBorders>
            <w:vAlign w:val="center"/>
          </w:tcPr>
          <w:p w:rsidR="002431D5" w:rsidRPr="002431D5" w:rsidRDefault="002431D5" w:rsidP="002431D5">
            <w:pPr>
              <w:jc w:val="center"/>
              <w:rPr>
                <w:rFonts w:ascii="Century Gothic" w:eastAsia="Times New Roman" w:hAnsi="Century Gothic" w:cs="Arial"/>
                <w:strike/>
                <w:color w:val="000000"/>
                <w:sz w:val="16"/>
                <w:szCs w:val="16"/>
                <w:highlight w:val="yellow"/>
                <w:lang w:val="es-MX" w:eastAsia="es-ES"/>
              </w:rPr>
            </w:pPr>
            <w:r w:rsidRPr="002431D5">
              <w:rPr>
                <w:rFonts w:ascii="Century Gothic" w:hAnsi="Century Gothic" w:cs="Calibri"/>
                <w:color w:val="000000"/>
                <w:sz w:val="16"/>
                <w:szCs w:val="18"/>
              </w:rPr>
              <w:t>-2.71%</w:t>
            </w:r>
          </w:p>
        </w:tc>
      </w:tr>
      <w:tr w:rsidR="002431D5" w:rsidRPr="0050035B" w:rsidTr="00734847">
        <w:trPr>
          <w:trHeight w:val="340"/>
          <w:jc w:val="right"/>
        </w:trPr>
        <w:tc>
          <w:tcPr>
            <w:tcW w:w="3221" w:type="dxa"/>
            <w:tcBorders>
              <w:top w:val="nil"/>
              <w:left w:val="single" w:sz="8" w:space="0" w:color="auto"/>
              <w:bottom w:val="single" w:sz="4" w:space="0" w:color="auto"/>
              <w:right w:val="single" w:sz="4" w:space="0" w:color="auto"/>
            </w:tcBorders>
            <w:shd w:val="clear" w:color="auto" w:fill="595959" w:themeFill="text1" w:themeFillTint="A6"/>
            <w:vAlign w:val="center"/>
            <w:hideMark/>
          </w:tcPr>
          <w:p w:rsidR="002431D5" w:rsidRPr="0050035B" w:rsidRDefault="002431D5" w:rsidP="002431D5">
            <w:pPr>
              <w:jc w:val="center"/>
              <w:rPr>
                <w:rFonts w:ascii="Century Gothic" w:eastAsia="Times New Roman" w:hAnsi="Century Gothic" w:cs="Arial"/>
                <w:b/>
                <w:color w:val="FFFFFF" w:themeColor="background1"/>
                <w:sz w:val="18"/>
                <w:szCs w:val="18"/>
                <w:lang w:val="es-MX" w:eastAsia="es-ES"/>
              </w:rPr>
            </w:pPr>
            <w:r w:rsidRPr="0050035B">
              <w:rPr>
                <w:rFonts w:ascii="Century Gothic" w:eastAsia="Times New Roman" w:hAnsi="Century Gothic" w:cs="Arial"/>
                <w:b/>
                <w:color w:val="FFFFFF" w:themeColor="background1"/>
                <w:sz w:val="18"/>
                <w:szCs w:val="18"/>
                <w:lang w:val="es-MX" w:eastAsia="es-ES"/>
              </w:rPr>
              <w:t>Otros Derechos</w:t>
            </w:r>
          </w:p>
        </w:tc>
        <w:tc>
          <w:tcPr>
            <w:tcW w:w="1417" w:type="dxa"/>
            <w:tcBorders>
              <w:top w:val="nil"/>
              <w:left w:val="nil"/>
              <w:bottom w:val="single" w:sz="4" w:space="0" w:color="auto"/>
              <w:right w:val="single" w:sz="8" w:space="0" w:color="auto"/>
            </w:tcBorders>
            <w:shd w:val="clear" w:color="auto" w:fill="auto"/>
            <w:noWrap/>
            <w:vAlign w:val="center"/>
            <w:hideMark/>
          </w:tcPr>
          <w:p w:rsidR="002431D5" w:rsidRPr="002431D5" w:rsidRDefault="002431D5" w:rsidP="002431D5">
            <w:pPr>
              <w:jc w:val="right"/>
              <w:rPr>
                <w:rFonts w:ascii="Century Gothic" w:eastAsia="Times New Roman" w:hAnsi="Century Gothic" w:cs="Arial"/>
                <w:strike/>
                <w:color w:val="000000"/>
                <w:sz w:val="16"/>
                <w:szCs w:val="16"/>
                <w:highlight w:val="yellow"/>
                <w:lang w:val="es-MX" w:eastAsia="es-ES"/>
              </w:rPr>
            </w:pPr>
            <w:r w:rsidRPr="002431D5">
              <w:rPr>
                <w:rFonts w:ascii="Century Gothic" w:hAnsi="Century Gothic" w:cs="Calibri"/>
                <w:color w:val="000000"/>
                <w:sz w:val="16"/>
                <w:szCs w:val="18"/>
              </w:rPr>
              <w:t>$20,325,813.80</w:t>
            </w:r>
          </w:p>
        </w:tc>
        <w:tc>
          <w:tcPr>
            <w:tcW w:w="1418" w:type="dxa"/>
            <w:tcBorders>
              <w:top w:val="nil"/>
              <w:left w:val="nil"/>
              <w:bottom w:val="single" w:sz="4" w:space="0" w:color="auto"/>
              <w:right w:val="single" w:sz="8" w:space="0" w:color="auto"/>
            </w:tcBorders>
            <w:vAlign w:val="center"/>
          </w:tcPr>
          <w:p w:rsidR="002431D5" w:rsidRPr="002431D5" w:rsidRDefault="002431D5" w:rsidP="002431D5">
            <w:pPr>
              <w:jc w:val="right"/>
              <w:rPr>
                <w:rFonts w:ascii="Century Gothic" w:eastAsia="Times New Roman" w:hAnsi="Century Gothic" w:cs="Arial"/>
                <w:strike/>
                <w:color w:val="000000"/>
                <w:sz w:val="16"/>
                <w:szCs w:val="16"/>
                <w:highlight w:val="yellow"/>
                <w:lang w:val="es-MX" w:eastAsia="es-ES"/>
              </w:rPr>
            </w:pPr>
            <w:r w:rsidRPr="002431D5">
              <w:rPr>
                <w:rFonts w:ascii="Century Gothic" w:hAnsi="Century Gothic" w:cs="Calibri"/>
                <w:color w:val="000000"/>
                <w:sz w:val="16"/>
                <w:szCs w:val="18"/>
              </w:rPr>
              <w:t>$4,456,869.61</w:t>
            </w:r>
          </w:p>
        </w:tc>
        <w:tc>
          <w:tcPr>
            <w:tcW w:w="1417" w:type="dxa"/>
            <w:tcBorders>
              <w:top w:val="nil"/>
              <w:left w:val="nil"/>
              <w:bottom w:val="single" w:sz="4" w:space="0" w:color="auto"/>
              <w:right w:val="single" w:sz="8" w:space="0" w:color="auto"/>
            </w:tcBorders>
            <w:vAlign w:val="center"/>
          </w:tcPr>
          <w:p w:rsidR="002431D5" w:rsidRPr="002431D5" w:rsidRDefault="002431D5" w:rsidP="006E4F2B">
            <w:pPr>
              <w:jc w:val="right"/>
              <w:rPr>
                <w:rFonts w:ascii="Century Gothic" w:eastAsia="Times New Roman" w:hAnsi="Century Gothic" w:cs="Arial"/>
                <w:strike/>
                <w:color w:val="000000"/>
                <w:sz w:val="16"/>
                <w:szCs w:val="16"/>
                <w:highlight w:val="yellow"/>
                <w:lang w:val="es-MX" w:eastAsia="es-ES"/>
              </w:rPr>
            </w:pPr>
            <w:r w:rsidRPr="002431D5">
              <w:rPr>
                <w:rFonts w:ascii="Century Gothic" w:hAnsi="Century Gothic" w:cs="Calibri"/>
                <w:color w:val="000000"/>
                <w:sz w:val="16"/>
                <w:szCs w:val="18"/>
              </w:rPr>
              <w:t>$5,350,929.77</w:t>
            </w:r>
          </w:p>
        </w:tc>
        <w:tc>
          <w:tcPr>
            <w:tcW w:w="1669" w:type="dxa"/>
            <w:tcBorders>
              <w:top w:val="nil"/>
              <w:left w:val="nil"/>
              <w:bottom w:val="single" w:sz="4" w:space="0" w:color="auto"/>
              <w:right w:val="single" w:sz="8" w:space="0" w:color="auto"/>
            </w:tcBorders>
            <w:vAlign w:val="center"/>
          </w:tcPr>
          <w:p w:rsidR="002431D5" w:rsidRPr="002431D5" w:rsidRDefault="002431D5" w:rsidP="002431D5">
            <w:pPr>
              <w:jc w:val="center"/>
              <w:rPr>
                <w:rFonts w:ascii="Century Gothic" w:eastAsia="Times New Roman" w:hAnsi="Century Gothic" w:cs="Arial"/>
                <w:strike/>
                <w:color w:val="000000"/>
                <w:sz w:val="16"/>
                <w:szCs w:val="16"/>
                <w:highlight w:val="yellow"/>
                <w:lang w:val="es-MX" w:eastAsia="es-ES"/>
              </w:rPr>
            </w:pPr>
            <w:r w:rsidRPr="002431D5">
              <w:rPr>
                <w:rFonts w:ascii="Century Gothic" w:hAnsi="Century Gothic" w:cs="Calibri"/>
                <w:color w:val="000000"/>
                <w:sz w:val="16"/>
                <w:szCs w:val="18"/>
              </w:rPr>
              <w:t>20.06%</w:t>
            </w:r>
          </w:p>
        </w:tc>
      </w:tr>
      <w:tr w:rsidR="002431D5" w:rsidRPr="0050035B" w:rsidTr="00734847">
        <w:trPr>
          <w:trHeight w:val="340"/>
          <w:jc w:val="right"/>
        </w:trPr>
        <w:tc>
          <w:tcPr>
            <w:tcW w:w="3221" w:type="dxa"/>
            <w:tcBorders>
              <w:top w:val="nil"/>
              <w:left w:val="single" w:sz="8" w:space="0" w:color="auto"/>
              <w:bottom w:val="single" w:sz="4" w:space="0" w:color="auto"/>
              <w:right w:val="single" w:sz="4" w:space="0" w:color="auto"/>
            </w:tcBorders>
            <w:shd w:val="clear" w:color="auto" w:fill="595959" w:themeFill="text1" w:themeFillTint="A6"/>
            <w:vAlign w:val="center"/>
            <w:hideMark/>
          </w:tcPr>
          <w:p w:rsidR="002431D5" w:rsidRPr="0050035B" w:rsidRDefault="002431D5" w:rsidP="002431D5">
            <w:pPr>
              <w:jc w:val="center"/>
              <w:rPr>
                <w:rFonts w:ascii="Century Gothic" w:eastAsia="Times New Roman" w:hAnsi="Century Gothic" w:cs="Arial"/>
                <w:b/>
                <w:color w:val="FFFFFF" w:themeColor="background1"/>
                <w:sz w:val="18"/>
                <w:szCs w:val="18"/>
                <w:lang w:val="es-MX" w:eastAsia="es-ES"/>
              </w:rPr>
            </w:pPr>
            <w:r w:rsidRPr="0050035B">
              <w:rPr>
                <w:rFonts w:ascii="Century Gothic" w:eastAsia="Times New Roman" w:hAnsi="Century Gothic" w:cs="Arial"/>
                <w:b/>
                <w:color w:val="FFFFFF" w:themeColor="background1"/>
                <w:sz w:val="18"/>
                <w:szCs w:val="18"/>
                <w:lang w:val="es-MX" w:eastAsia="es-ES"/>
              </w:rPr>
              <w:t>Accesorios de Derechos</w:t>
            </w:r>
          </w:p>
        </w:tc>
        <w:tc>
          <w:tcPr>
            <w:tcW w:w="1417" w:type="dxa"/>
            <w:tcBorders>
              <w:top w:val="nil"/>
              <w:left w:val="nil"/>
              <w:bottom w:val="single" w:sz="4" w:space="0" w:color="auto"/>
              <w:right w:val="single" w:sz="8" w:space="0" w:color="auto"/>
            </w:tcBorders>
            <w:shd w:val="clear" w:color="auto" w:fill="auto"/>
            <w:noWrap/>
            <w:vAlign w:val="center"/>
            <w:hideMark/>
          </w:tcPr>
          <w:p w:rsidR="002431D5" w:rsidRPr="002431D5" w:rsidRDefault="002431D5" w:rsidP="002431D5">
            <w:pPr>
              <w:jc w:val="right"/>
              <w:rPr>
                <w:rFonts w:ascii="Century Gothic" w:eastAsia="Times New Roman" w:hAnsi="Century Gothic" w:cs="Arial"/>
                <w:strike/>
                <w:color w:val="000000"/>
                <w:sz w:val="16"/>
                <w:szCs w:val="16"/>
                <w:highlight w:val="yellow"/>
                <w:lang w:val="es-MX" w:eastAsia="es-ES"/>
              </w:rPr>
            </w:pPr>
            <w:r w:rsidRPr="002431D5">
              <w:rPr>
                <w:rFonts w:ascii="Century Gothic" w:hAnsi="Century Gothic" w:cs="Calibri"/>
                <w:color w:val="000000"/>
                <w:sz w:val="16"/>
                <w:szCs w:val="18"/>
              </w:rPr>
              <w:t>$3,297,858.65</w:t>
            </w:r>
          </w:p>
        </w:tc>
        <w:tc>
          <w:tcPr>
            <w:tcW w:w="1418" w:type="dxa"/>
            <w:tcBorders>
              <w:top w:val="nil"/>
              <w:left w:val="nil"/>
              <w:bottom w:val="single" w:sz="4" w:space="0" w:color="auto"/>
              <w:right w:val="single" w:sz="8" w:space="0" w:color="auto"/>
            </w:tcBorders>
            <w:vAlign w:val="center"/>
          </w:tcPr>
          <w:p w:rsidR="002431D5" w:rsidRPr="002431D5" w:rsidRDefault="002431D5" w:rsidP="002431D5">
            <w:pPr>
              <w:jc w:val="right"/>
              <w:rPr>
                <w:rFonts w:ascii="Century Gothic" w:eastAsia="Times New Roman" w:hAnsi="Century Gothic" w:cs="Arial"/>
                <w:strike/>
                <w:color w:val="000000"/>
                <w:sz w:val="16"/>
                <w:szCs w:val="16"/>
                <w:highlight w:val="yellow"/>
                <w:lang w:val="es-MX" w:eastAsia="es-ES"/>
              </w:rPr>
            </w:pPr>
            <w:r w:rsidRPr="002431D5">
              <w:rPr>
                <w:rFonts w:ascii="Century Gothic" w:hAnsi="Century Gothic" w:cs="Calibri"/>
                <w:color w:val="000000"/>
                <w:sz w:val="16"/>
                <w:szCs w:val="18"/>
              </w:rPr>
              <w:t>$1,126,426.06</w:t>
            </w:r>
          </w:p>
        </w:tc>
        <w:tc>
          <w:tcPr>
            <w:tcW w:w="1417" w:type="dxa"/>
            <w:tcBorders>
              <w:top w:val="nil"/>
              <w:left w:val="nil"/>
              <w:bottom w:val="single" w:sz="4" w:space="0" w:color="auto"/>
              <w:right w:val="single" w:sz="8" w:space="0" w:color="auto"/>
            </w:tcBorders>
            <w:vAlign w:val="center"/>
          </w:tcPr>
          <w:p w:rsidR="002431D5" w:rsidRPr="002431D5" w:rsidRDefault="002431D5" w:rsidP="006E4F2B">
            <w:pPr>
              <w:jc w:val="right"/>
              <w:rPr>
                <w:rFonts w:ascii="Century Gothic" w:eastAsia="Times New Roman" w:hAnsi="Century Gothic" w:cs="Arial"/>
                <w:strike/>
                <w:color w:val="000000"/>
                <w:sz w:val="16"/>
                <w:szCs w:val="16"/>
                <w:highlight w:val="yellow"/>
                <w:lang w:val="es-MX" w:eastAsia="es-ES"/>
              </w:rPr>
            </w:pPr>
            <w:r w:rsidRPr="002431D5">
              <w:rPr>
                <w:rFonts w:ascii="Century Gothic" w:hAnsi="Century Gothic" w:cs="Calibri"/>
                <w:color w:val="000000"/>
                <w:sz w:val="16"/>
                <w:szCs w:val="18"/>
              </w:rPr>
              <w:t>$1,989,820.14</w:t>
            </w:r>
          </w:p>
        </w:tc>
        <w:tc>
          <w:tcPr>
            <w:tcW w:w="1669" w:type="dxa"/>
            <w:tcBorders>
              <w:top w:val="nil"/>
              <w:left w:val="nil"/>
              <w:bottom w:val="single" w:sz="4" w:space="0" w:color="auto"/>
              <w:right w:val="single" w:sz="8" w:space="0" w:color="auto"/>
            </w:tcBorders>
            <w:vAlign w:val="center"/>
          </w:tcPr>
          <w:p w:rsidR="002431D5" w:rsidRPr="002431D5" w:rsidRDefault="002431D5" w:rsidP="002431D5">
            <w:pPr>
              <w:jc w:val="center"/>
              <w:rPr>
                <w:rFonts w:ascii="Century Gothic" w:eastAsia="Times New Roman" w:hAnsi="Century Gothic" w:cs="Arial"/>
                <w:strike/>
                <w:color w:val="000000"/>
                <w:sz w:val="16"/>
                <w:szCs w:val="16"/>
                <w:highlight w:val="yellow"/>
                <w:lang w:val="es-MX" w:eastAsia="es-ES"/>
              </w:rPr>
            </w:pPr>
            <w:r w:rsidRPr="002431D5">
              <w:rPr>
                <w:rFonts w:ascii="Century Gothic" w:hAnsi="Century Gothic" w:cs="Calibri"/>
                <w:color w:val="000000"/>
                <w:sz w:val="16"/>
                <w:szCs w:val="18"/>
              </w:rPr>
              <w:t>76.65%</w:t>
            </w:r>
          </w:p>
        </w:tc>
      </w:tr>
      <w:tr w:rsidR="002431D5" w:rsidRPr="0050035B" w:rsidTr="00734847">
        <w:trPr>
          <w:trHeight w:val="340"/>
          <w:jc w:val="right"/>
        </w:trPr>
        <w:tc>
          <w:tcPr>
            <w:tcW w:w="3221" w:type="dxa"/>
            <w:tcBorders>
              <w:top w:val="nil"/>
              <w:left w:val="single" w:sz="8" w:space="0" w:color="auto"/>
              <w:bottom w:val="single" w:sz="8" w:space="0" w:color="auto"/>
              <w:right w:val="single" w:sz="4" w:space="0" w:color="auto"/>
            </w:tcBorders>
            <w:shd w:val="clear" w:color="auto" w:fill="595959" w:themeFill="text1" w:themeFillTint="A6"/>
            <w:noWrap/>
            <w:vAlign w:val="center"/>
            <w:hideMark/>
          </w:tcPr>
          <w:p w:rsidR="002431D5" w:rsidRPr="0050035B" w:rsidRDefault="002431D5" w:rsidP="002431D5">
            <w:pPr>
              <w:jc w:val="center"/>
              <w:rPr>
                <w:rFonts w:ascii="Century Gothic" w:eastAsia="Times New Roman" w:hAnsi="Century Gothic" w:cs="Arial"/>
                <w:b/>
                <w:color w:val="FFFFFF" w:themeColor="background1"/>
                <w:sz w:val="18"/>
                <w:szCs w:val="18"/>
                <w:lang w:val="es-MX" w:eastAsia="es-ES"/>
              </w:rPr>
            </w:pPr>
            <w:r w:rsidRPr="0050035B">
              <w:rPr>
                <w:rFonts w:ascii="Century Gothic" w:eastAsia="Times New Roman" w:hAnsi="Century Gothic" w:cs="Arial"/>
                <w:b/>
                <w:color w:val="FFFFFF" w:themeColor="background1"/>
                <w:sz w:val="18"/>
                <w:szCs w:val="18"/>
                <w:lang w:val="es-MX" w:eastAsia="es-ES"/>
              </w:rPr>
              <w:t>TOTAL</w:t>
            </w:r>
          </w:p>
        </w:tc>
        <w:tc>
          <w:tcPr>
            <w:tcW w:w="1417" w:type="dxa"/>
            <w:tcBorders>
              <w:top w:val="nil"/>
              <w:left w:val="nil"/>
              <w:bottom w:val="single" w:sz="8" w:space="0" w:color="auto"/>
              <w:right w:val="single" w:sz="8" w:space="0" w:color="auto"/>
            </w:tcBorders>
            <w:shd w:val="clear" w:color="auto" w:fill="auto"/>
            <w:noWrap/>
            <w:vAlign w:val="center"/>
            <w:hideMark/>
          </w:tcPr>
          <w:p w:rsidR="002431D5" w:rsidRPr="002431D5" w:rsidRDefault="002431D5" w:rsidP="002431D5">
            <w:pPr>
              <w:jc w:val="right"/>
              <w:rPr>
                <w:rFonts w:ascii="Century Gothic" w:eastAsia="Times New Roman" w:hAnsi="Century Gothic" w:cs="Arial"/>
                <w:b/>
                <w:strike/>
                <w:color w:val="000000"/>
                <w:sz w:val="16"/>
                <w:szCs w:val="16"/>
                <w:highlight w:val="yellow"/>
                <w:lang w:val="es-MX" w:eastAsia="es-ES"/>
              </w:rPr>
            </w:pPr>
            <w:r w:rsidRPr="002431D5">
              <w:rPr>
                <w:rFonts w:ascii="Century Gothic" w:hAnsi="Century Gothic" w:cs="Calibri"/>
                <w:b/>
                <w:bCs/>
                <w:color w:val="000000"/>
                <w:sz w:val="16"/>
                <w:szCs w:val="18"/>
              </w:rPr>
              <w:t>$322,206,102.76</w:t>
            </w:r>
          </w:p>
        </w:tc>
        <w:tc>
          <w:tcPr>
            <w:tcW w:w="1418" w:type="dxa"/>
            <w:tcBorders>
              <w:top w:val="nil"/>
              <w:left w:val="nil"/>
              <w:bottom w:val="single" w:sz="8" w:space="0" w:color="auto"/>
              <w:right w:val="single" w:sz="8" w:space="0" w:color="auto"/>
            </w:tcBorders>
            <w:vAlign w:val="center"/>
          </w:tcPr>
          <w:p w:rsidR="002431D5" w:rsidRPr="002431D5" w:rsidRDefault="002431D5" w:rsidP="002431D5">
            <w:pPr>
              <w:jc w:val="right"/>
              <w:rPr>
                <w:rFonts w:ascii="Century Gothic" w:eastAsia="Times New Roman" w:hAnsi="Century Gothic" w:cs="Arial"/>
                <w:b/>
                <w:strike/>
                <w:color w:val="000000"/>
                <w:sz w:val="16"/>
                <w:szCs w:val="16"/>
                <w:highlight w:val="yellow"/>
                <w:lang w:val="es-MX" w:eastAsia="es-ES"/>
              </w:rPr>
            </w:pPr>
            <w:r w:rsidRPr="002431D5">
              <w:rPr>
                <w:rFonts w:ascii="Century Gothic" w:hAnsi="Century Gothic" w:cs="Calibri"/>
                <w:b/>
                <w:bCs/>
                <w:color w:val="000000"/>
                <w:sz w:val="16"/>
                <w:szCs w:val="18"/>
              </w:rPr>
              <w:t>$278,093,458.31</w:t>
            </w:r>
          </w:p>
        </w:tc>
        <w:tc>
          <w:tcPr>
            <w:tcW w:w="1417" w:type="dxa"/>
            <w:tcBorders>
              <w:top w:val="nil"/>
              <w:left w:val="nil"/>
              <w:bottom w:val="single" w:sz="8" w:space="0" w:color="auto"/>
              <w:right w:val="single" w:sz="8" w:space="0" w:color="auto"/>
            </w:tcBorders>
            <w:vAlign w:val="center"/>
          </w:tcPr>
          <w:p w:rsidR="002431D5" w:rsidRPr="002431D5" w:rsidRDefault="002431D5" w:rsidP="006E4F2B">
            <w:pPr>
              <w:jc w:val="right"/>
              <w:rPr>
                <w:rFonts w:ascii="Century Gothic" w:eastAsia="Times New Roman" w:hAnsi="Century Gothic" w:cs="Arial"/>
                <w:b/>
                <w:strike/>
                <w:color w:val="000000"/>
                <w:sz w:val="16"/>
                <w:szCs w:val="16"/>
                <w:highlight w:val="yellow"/>
                <w:lang w:val="es-MX" w:eastAsia="es-ES"/>
              </w:rPr>
            </w:pPr>
            <w:r w:rsidRPr="002431D5">
              <w:rPr>
                <w:rFonts w:ascii="Century Gothic" w:hAnsi="Century Gothic" w:cs="Calibri"/>
                <w:b/>
                <w:bCs/>
                <w:color w:val="000000"/>
                <w:sz w:val="16"/>
                <w:szCs w:val="18"/>
              </w:rPr>
              <w:t>$268,214,704.19</w:t>
            </w:r>
          </w:p>
        </w:tc>
        <w:tc>
          <w:tcPr>
            <w:tcW w:w="1669" w:type="dxa"/>
            <w:tcBorders>
              <w:top w:val="nil"/>
              <w:left w:val="nil"/>
              <w:bottom w:val="single" w:sz="8" w:space="0" w:color="auto"/>
              <w:right w:val="single" w:sz="8" w:space="0" w:color="auto"/>
            </w:tcBorders>
            <w:vAlign w:val="center"/>
          </w:tcPr>
          <w:p w:rsidR="002431D5" w:rsidRPr="002431D5" w:rsidRDefault="002431D5" w:rsidP="002431D5">
            <w:pPr>
              <w:jc w:val="center"/>
              <w:rPr>
                <w:rFonts w:ascii="Century Gothic" w:eastAsia="Times New Roman" w:hAnsi="Century Gothic" w:cs="Arial"/>
                <w:b/>
                <w:strike/>
                <w:color w:val="000000"/>
                <w:sz w:val="16"/>
                <w:szCs w:val="16"/>
                <w:highlight w:val="yellow"/>
                <w:lang w:val="es-MX" w:eastAsia="es-ES"/>
              </w:rPr>
            </w:pPr>
            <w:r w:rsidRPr="002431D5">
              <w:rPr>
                <w:rFonts w:ascii="Century Gothic" w:hAnsi="Century Gothic" w:cs="Calibri"/>
                <w:b/>
                <w:bCs/>
                <w:color w:val="000000"/>
                <w:sz w:val="16"/>
                <w:szCs w:val="18"/>
              </w:rPr>
              <w:t>-3.55%</w:t>
            </w:r>
          </w:p>
        </w:tc>
      </w:tr>
    </w:tbl>
    <w:p w:rsidR="00A67D3F" w:rsidRPr="0050035B" w:rsidRDefault="008F6AF2" w:rsidP="000B1A05">
      <w:pPr>
        <w:spacing w:line="360" w:lineRule="auto"/>
        <w:jc w:val="both"/>
        <w:rPr>
          <w:rFonts w:ascii="Century Gothic" w:hAnsi="Century Gothic"/>
          <w:sz w:val="20"/>
          <w:szCs w:val="20"/>
          <w:lang w:val="es-MX"/>
        </w:rPr>
      </w:pPr>
      <w:r w:rsidRPr="0050035B">
        <w:rPr>
          <w:rFonts w:ascii="Century Gothic" w:hAnsi="Century Gothic"/>
          <w:sz w:val="20"/>
          <w:szCs w:val="20"/>
          <w:lang w:val="es-MX"/>
        </w:rPr>
        <w:t xml:space="preserve">                         </w:t>
      </w:r>
      <w:r w:rsidR="00A67D3F" w:rsidRPr="0050035B">
        <w:rPr>
          <w:rFonts w:ascii="Century Gothic" w:hAnsi="Century Gothic"/>
          <w:b/>
          <w:sz w:val="20"/>
          <w:szCs w:val="20"/>
          <w:lang w:val="es-MX"/>
        </w:rPr>
        <w:t>Fuente</w:t>
      </w:r>
      <w:r w:rsidR="00A67D3F" w:rsidRPr="0050035B">
        <w:rPr>
          <w:rFonts w:ascii="Century Gothic" w:hAnsi="Century Gothic"/>
          <w:sz w:val="20"/>
          <w:szCs w:val="20"/>
          <w:lang w:val="es-MX"/>
        </w:rPr>
        <w:t>: Elaboración propia, 20</w:t>
      </w:r>
      <w:r w:rsidR="00846DE2" w:rsidRPr="0050035B">
        <w:rPr>
          <w:rFonts w:ascii="Century Gothic" w:hAnsi="Century Gothic"/>
          <w:sz w:val="20"/>
          <w:szCs w:val="20"/>
          <w:lang w:val="es-MX"/>
        </w:rPr>
        <w:t>2</w:t>
      </w:r>
      <w:r w:rsidR="002431D5">
        <w:rPr>
          <w:rFonts w:ascii="Century Gothic" w:hAnsi="Century Gothic"/>
          <w:sz w:val="20"/>
          <w:szCs w:val="20"/>
          <w:lang w:val="es-MX"/>
        </w:rPr>
        <w:t>1</w:t>
      </w:r>
      <w:r w:rsidR="00A67D3F" w:rsidRPr="0050035B">
        <w:rPr>
          <w:rFonts w:ascii="Century Gothic" w:hAnsi="Century Gothic"/>
          <w:sz w:val="20"/>
          <w:szCs w:val="20"/>
          <w:lang w:val="es-MX"/>
        </w:rPr>
        <w:t>.</w:t>
      </w:r>
    </w:p>
    <w:p w:rsidR="003D3DD4" w:rsidRDefault="003D3DD4" w:rsidP="00E80338">
      <w:pPr>
        <w:spacing w:line="360" w:lineRule="auto"/>
        <w:ind w:firstLine="720"/>
        <w:jc w:val="both"/>
        <w:rPr>
          <w:rFonts w:ascii="Century Gothic" w:hAnsi="Century Gothic"/>
          <w:sz w:val="16"/>
          <w:lang w:val="es-MX"/>
        </w:rPr>
      </w:pPr>
    </w:p>
    <w:p w:rsidR="009412BE" w:rsidRPr="009412BE" w:rsidRDefault="009412BE" w:rsidP="00E80338">
      <w:pPr>
        <w:spacing w:line="360" w:lineRule="auto"/>
        <w:ind w:firstLine="720"/>
        <w:jc w:val="both"/>
        <w:rPr>
          <w:rFonts w:ascii="Century Gothic" w:hAnsi="Century Gothic"/>
          <w:sz w:val="16"/>
          <w:lang w:val="es-MX"/>
        </w:rPr>
      </w:pPr>
    </w:p>
    <w:p w:rsidR="0001503A" w:rsidRPr="0050035B" w:rsidRDefault="008F6AF2" w:rsidP="001763AA">
      <w:pPr>
        <w:spacing w:line="360" w:lineRule="auto"/>
        <w:ind w:firstLine="720"/>
        <w:jc w:val="both"/>
        <w:rPr>
          <w:rFonts w:ascii="Century Gothic" w:hAnsi="Century Gothic"/>
          <w:lang w:val="es-MX"/>
        </w:rPr>
      </w:pPr>
      <w:r w:rsidRPr="0050035B">
        <w:rPr>
          <w:rFonts w:ascii="Century Gothic" w:hAnsi="Century Gothic"/>
          <w:lang w:val="es-MX"/>
        </w:rPr>
        <w:t xml:space="preserve"> </w:t>
      </w:r>
      <w:r w:rsidR="00BD06DD" w:rsidRPr="0050035B">
        <w:rPr>
          <w:rFonts w:ascii="Century Gothic" w:hAnsi="Century Gothic"/>
          <w:lang w:val="es-MX"/>
        </w:rPr>
        <w:t xml:space="preserve">En lo que respecta a los </w:t>
      </w:r>
      <w:r w:rsidR="00BD06DD" w:rsidRPr="0050035B">
        <w:rPr>
          <w:rFonts w:ascii="Century Gothic" w:hAnsi="Century Gothic"/>
          <w:b/>
          <w:u w:val="single"/>
          <w:lang w:val="es-MX"/>
        </w:rPr>
        <w:t>Productos,</w:t>
      </w:r>
      <w:r w:rsidR="00BD06DD" w:rsidRPr="0050035B">
        <w:rPr>
          <w:rFonts w:ascii="Century Gothic" w:hAnsi="Century Gothic"/>
          <w:lang w:val="es-MX"/>
        </w:rPr>
        <w:t xml:space="preserve"> se espera percibir la cantidad de:</w:t>
      </w:r>
      <w:r w:rsidR="00E80338" w:rsidRPr="0050035B">
        <w:rPr>
          <w:rFonts w:ascii="Century Gothic" w:hAnsi="Century Gothic"/>
          <w:lang w:val="es-MX"/>
        </w:rPr>
        <w:t xml:space="preserve"> </w:t>
      </w:r>
      <w:r w:rsidR="00CB764A" w:rsidRPr="00CB764A">
        <w:rPr>
          <w:rFonts w:ascii="Century Gothic" w:eastAsia="Times New Roman" w:hAnsi="Century Gothic" w:cs="Arial"/>
          <w:b/>
          <w:color w:val="000000"/>
          <w:u w:val="single"/>
          <w:lang w:val="es-MX"/>
        </w:rPr>
        <w:t xml:space="preserve">$129,665,602.07 </w:t>
      </w:r>
      <w:r w:rsidR="00042B30" w:rsidRPr="0050035B">
        <w:rPr>
          <w:rFonts w:ascii="Century Gothic" w:eastAsia="Times New Roman" w:hAnsi="Century Gothic" w:cs="Arial"/>
          <w:b/>
          <w:color w:val="000000"/>
          <w:lang w:val="es-MX"/>
        </w:rPr>
        <w:t>(</w:t>
      </w:r>
      <w:r w:rsidR="00CB764A">
        <w:rPr>
          <w:rFonts w:ascii="Century Gothic" w:eastAsia="Times New Roman" w:hAnsi="Century Gothic" w:cs="Arial"/>
          <w:b/>
          <w:color w:val="000000"/>
          <w:lang w:val="es-MX"/>
        </w:rPr>
        <w:t>Ci</w:t>
      </w:r>
      <w:r w:rsidR="00F470D9">
        <w:rPr>
          <w:rFonts w:ascii="Century Gothic" w:eastAsia="Times New Roman" w:hAnsi="Century Gothic" w:cs="Arial"/>
          <w:b/>
          <w:color w:val="000000"/>
          <w:lang w:val="es-MX"/>
        </w:rPr>
        <w:t>e</w:t>
      </w:r>
      <w:r w:rsidR="00CB764A">
        <w:rPr>
          <w:rFonts w:ascii="Century Gothic" w:eastAsia="Times New Roman" w:hAnsi="Century Gothic" w:cs="Arial"/>
          <w:b/>
          <w:color w:val="000000"/>
          <w:lang w:val="es-MX"/>
        </w:rPr>
        <w:t>nto veintinueve millones seiscientos sesenta y cinco mil seiscientos dos</w:t>
      </w:r>
      <w:r w:rsidR="00B44FCD" w:rsidRPr="0050035B">
        <w:rPr>
          <w:rFonts w:ascii="Century Gothic" w:eastAsia="Times New Roman" w:hAnsi="Century Gothic" w:cs="Arial"/>
          <w:b/>
          <w:color w:val="000000"/>
          <w:lang w:val="es-MX"/>
        </w:rPr>
        <w:t xml:space="preserve"> pesos</w:t>
      </w:r>
      <w:r w:rsidR="00042B30" w:rsidRPr="0050035B">
        <w:rPr>
          <w:rFonts w:ascii="Century Gothic" w:eastAsia="Times New Roman" w:hAnsi="Century Gothic" w:cs="Arial"/>
          <w:b/>
          <w:color w:val="000000"/>
          <w:lang w:val="es-MX"/>
        </w:rPr>
        <w:t xml:space="preserve"> </w:t>
      </w:r>
      <w:r w:rsidR="00CB764A">
        <w:rPr>
          <w:rFonts w:ascii="Century Gothic" w:eastAsia="Times New Roman" w:hAnsi="Century Gothic" w:cs="Arial"/>
          <w:b/>
          <w:color w:val="000000"/>
          <w:lang w:val="es-MX"/>
        </w:rPr>
        <w:t>07</w:t>
      </w:r>
      <w:r w:rsidR="00042B30" w:rsidRPr="0050035B">
        <w:rPr>
          <w:rFonts w:ascii="Century Gothic" w:eastAsia="Times New Roman" w:hAnsi="Century Gothic" w:cs="Arial"/>
          <w:b/>
          <w:color w:val="000000"/>
          <w:lang w:val="es-MX"/>
        </w:rPr>
        <w:t>/100 Moneda Nacional)</w:t>
      </w:r>
      <w:r w:rsidR="00BD06DD" w:rsidRPr="0050035B">
        <w:rPr>
          <w:rFonts w:ascii="Century Gothic" w:hAnsi="Century Gothic"/>
          <w:lang w:val="es-MX"/>
        </w:rPr>
        <w:t xml:space="preserve"> </w:t>
      </w:r>
      <w:r w:rsidR="00E80338" w:rsidRPr="0050035B">
        <w:rPr>
          <w:rFonts w:ascii="Century Gothic" w:hAnsi="Century Gothic"/>
          <w:lang w:val="es-MX"/>
        </w:rPr>
        <w:t xml:space="preserve">y por concepto de </w:t>
      </w:r>
      <w:r w:rsidR="00E80338" w:rsidRPr="0050035B">
        <w:rPr>
          <w:rFonts w:ascii="Century Gothic" w:hAnsi="Century Gothic"/>
          <w:b/>
          <w:u w:val="single"/>
          <w:lang w:val="es-MX"/>
        </w:rPr>
        <w:t>Aprovechamientos</w:t>
      </w:r>
      <w:r w:rsidR="00E80338" w:rsidRPr="0050035B">
        <w:rPr>
          <w:rFonts w:ascii="Century Gothic" w:hAnsi="Century Gothic"/>
          <w:lang w:val="es-MX"/>
        </w:rPr>
        <w:t xml:space="preserve"> la cantidad de </w:t>
      </w:r>
      <w:r w:rsidR="00CB764A" w:rsidRPr="00CB764A">
        <w:rPr>
          <w:rFonts w:ascii="Century Gothic" w:eastAsia="Times New Roman" w:hAnsi="Century Gothic" w:cs="Arial"/>
          <w:b/>
          <w:color w:val="000000"/>
          <w:u w:val="single"/>
          <w:lang w:val="es-MX"/>
        </w:rPr>
        <w:t xml:space="preserve">$228,099,297.62 </w:t>
      </w:r>
      <w:r w:rsidR="00042B30" w:rsidRPr="0050035B">
        <w:rPr>
          <w:rFonts w:ascii="Century Gothic" w:eastAsia="Times New Roman" w:hAnsi="Century Gothic" w:cs="Arial"/>
          <w:b/>
          <w:color w:val="000000"/>
          <w:lang w:val="es-MX"/>
        </w:rPr>
        <w:t>(</w:t>
      </w:r>
      <w:r w:rsidR="00CB764A">
        <w:rPr>
          <w:rFonts w:ascii="Century Gothic" w:eastAsia="Times New Roman" w:hAnsi="Century Gothic" w:cs="Arial"/>
          <w:b/>
          <w:color w:val="000000"/>
          <w:lang w:val="es-MX"/>
        </w:rPr>
        <w:t>Doscientos veintiocho millones noventa y nueve mil doscientos noventa y siete</w:t>
      </w:r>
      <w:r w:rsidR="00683907" w:rsidRPr="0050035B">
        <w:rPr>
          <w:rFonts w:ascii="Century Gothic" w:eastAsia="Times New Roman" w:hAnsi="Century Gothic" w:cs="Arial"/>
          <w:b/>
          <w:color w:val="000000"/>
          <w:lang w:val="es-MX"/>
        </w:rPr>
        <w:t xml:space="preserve"> pesos </w:t>
      </w:r>
      <w:r w:rsidR="00CB764A">
        <w:rPr>
          <w:rFonts w:ascii="Century Gothic" w:eastAsia="Times New Roman" w:hAnsi="Century Gothic" w:cs="Arial"/>
          <w:b/>
          <w:color w:val="000000"/>
          <w:lang w:val="es-MX"/>
        </w:rPr>
        <w:t>62</w:t>
      </w:r>
      <w:r w:rsidR="00042B30" w:rsidRPr="0050035B">
        <w:rPr>
          <w:rFonts w:ascii="Century Gothic" w:eastAsia="Times New Roman" w:hAnsi="Century Gothic" w:cs="Arial"/>
          <w:b/>
          <w:color w:val="000000"/>
          <w:lang w:val="es-MX"/>
        </w:rPr>
        <w:t>/100 Moneda Nacional)</w:t>
      </w:r>
      <w:r w:rsidR="00B115B4" w:rsidRPr="0050035B">
        <w:rPr>
          <w:rFonts w:ascii="Century Gothic" w:eastAsia="Times New Roman" w:hAnsi="Century Gothic" w:cs="Arial"/>
          <w:color w:val="000000"/>
          <w:lang w:val="es-MX"/>
        </w:rPr>
        <w:t>.</w:t>
      </w:r>
      <w:r w:rsidR="00E80338" w:rsidRPr="0050035B">
        <w:rPr>
          <w:rFonts w:ascii="Century Gothic" w:eastAsia="Times New Roman" w:hAnsi="Century Gothic" w:cs="Arial"/>
          <w:b/>
          <w:color w:val="000000"/>
          <w:lang w:val="es-MX"/>
        </w:rPr>
        <w:t xml:space="preserve"> </w:t>
      </w:r>
      <w:r w:rsidR="00E80338" w:rsidRPr="0050035B">
        <w:rPr>
          <w:rFonts w:ascii="Century Gothic" w:hAnsi="Century Gothic"/>
          <w:lang w:val="es-MX"/>
        </w:rPr>
        <w:t xml:space="preserve">En la tabla </w:t>
      </w:r>
      <w:r w:rsidR="00762946" w:rsidRPr="0050035B">
        <w:rPr>
          <w:rFonts w:ascii="Century Gothic" w:hAnsi="Century Gothic"/>
          <w:lang w:val="es-MX"/>
        </w:rPr>
        <w:t>4.6</w:t>
      </w:r>
      <w:r w:rsidR="00B635ED" w:rsidRPr="0050035B">
        <w:rPr>
          <w:rFonts w:ascii="Century Gothic" w:hAnsi="Century Gothic"/>
          <w:lang w:val="es-MX"/>
        </w:rPr>
        <w:t>.</w:t>
      </w:r>
      <w:r w:rsidR="00E80338" w:rsidRPr="0050035B">
        <w:rPr>
          <w:rFonts w:ascii="Century Gothic" w:hAnsi="Century Gothic"/>
          <w:lang w:val="es-MX"/>
        </w:rPr>
        <w:t xml:space="preserve"> se muestra una comparativa de lo proyectado por concepto de cobro Productos y Aprovechamientos </w:t>
      </w:r>
      <w:r w:rsidR="00B115B4" w:rsidRPr="0050035B">
        <w:rPr>
          <w:rFonts w:ascii="Century Gothic" w:hAnsi="Century Gothic"/>
          <w:lang w:val="es-MX"/>
        </w:rPr>
        <w:t xml:space="preserve">del </w:t>
      </w:r>
      <w:r w:rsidR="00846DE2" w:rsidRPr="0050035B">
        <w:rPr>
          <w:rFonts w:ascii="Century Gothic" w:hAnsi="Century Gothic"/>
          <w:lang w:val="es-MX"/>
        </w:rPr>
        <w:t>20</w:t>
      </w:r>
      <w:r w:rsidR="00CB764A">
        <w:rPr>
          <w:rFonts w:ascii="Century Gothic" w:hAnsi="Century Gothic"/>
          <w:lang w:val="es-MX"/>
        </w:rPr>
        <w:t>20</w:t>
      </w:r>
      <w:r w:rsidR="004449AB" w:rsidRPr="0050035B">
        <w:rPr>
          <w:rFonts w:ascii="Century Gothic" w:hAnsi="Century Gothic"/>
          <w:lang w:val="es-MX"/>
        </w:rPr>
        <w:t xml:space="preserve"> </w:t>
      </w:r>
      <w:r w:rsidR="00E80338" w:rsidRPr="0050035B">
        <w:rPr>
          <w:rFonts w:ascii="Century Gothic" w:hAnsi="Century Gothic"/>
          <w:lang w:val="es-MX"/>
        </w:rPr>
        <w:t xml:space="preserve">a la fecha, así como la Tasa de Crecimiento respecto del año </w:t>
      </w:r>
      <w:r w:rsidR="00846DE2" w:rsidRPr="0050035B">
        <w:rPr>
          <w:rFonts w:ascii="Century Gothic" w:hAnsi="Century Gothic"/>
          <w:lang w:val="es-MX"/>
        </w:rPr>
        <w:t>202</w:t>
      </w:r>
      <w:r w:rsidR="00CB764A">
        <w:rPr>
          <w:rFonts w:ascii="Century Gothic" w:hAnsi="Century Gothic"/>
          <w:lang w:val="es-MX"/>
        </w:rPr>
        <w:t>1</w:t>
      </w:r>
      <w:r w:rsidR="00042B30" w:rsidRPr="0050035B">
        <w:rPr>
          <w:rFonts w:ascii="Century Gothic" w:hAnsi="Century Gothic"/>
          <w:lang w:val="es-MX"/>
        </w:rPr>
        <w:t xml:space="preserve"> que permite apreciar el desarrollo favorable del ingreso por estos rubros, por lo cual para el año 20</w:t>
      </w:r>
      <w:r w:rsidR="00193FE7" w:rsidRPr="0050035B">
        <w:rPr>
          <w:rFonts w:ascii="Century Gothic" w:hAnsi="Century Gothic"/>
          <w:lang w:val="es-MX"/>
        </w:rPr>
        <w:t>2</w:t>
      </w:r>
      <w:r w:rsidR="00CB764A">
        <w:rPr>
          <w:rFonts w:ascii="Century Gothic" w:hAnsi="Century Gothic"/>
          <w:lang w:val="es-MX"/>
        </w:rPr>
        <w:t>2</w:t>
      </w:r>
      <w:r w:rsidR="00193FE7" w:rsidRPr="0050035B">
        <w:rPr>
          <w:rFonts w:ascii="Century Gothic" w:hAnsi="Century Gothic"/>
          <w:lang w:val="es-MX"/>
        </w:rPr>
        <w:t xml:space="preserve"> </w:t>
      </w:r>
      <w:r w:rsidR="00042B30" w:rsidRPr="0050035B">
        <w:rPr>
          <w:rFonts w:ascii="Century Gothic" w:hAnsi="Century Gothic"/>
          <w:lang w:val="es-MX"/>
        </w:rPr>
        <w:t>se prevé en total ingresos</w:t>
      </w:r>
      <w:r w:rsidR="004449AB" w:rsidRPr="0050035B">
        <w:rPr>
          <w:rFonts w:ascii="Century Gothic" w:hAnsi="Century Gothic"/>
          <w:lang w:val="es-MX"/>
        </w:rPr>
        <w:t xml:space="preserve"> entre estos conceptos,</w:t>
      </w:r>
      <w:r w:rsidR="00042B30" w:rsidRPr="0050035B">
        <w:rPr>
          <w:rFonts w:ascii="Century Gothic" w:hAnsi="Century Gothic"/>
          <w:lang w:val="es-MX"/>
        </w:rPr>
        <w:t xml:space="preserve"> por un monto de </w:t>
      </w:r>
      <w:r w:rsidR="00CB764A" w:rsidRPr="00CB764A">
        <w:rPr>
          <w:rFonts w:ascii="Century Gothic" w:hAnsi="Century Gothic"/>
          <w:b/>
          <w:lang w:val="es-MX"/>
        </w:rPr>
        <w:t xml:space="preserve">$357,764,899.69 </w:t>
      </w:r>
      <w:r w:rsidR="00042B30" w:rsidRPr="0050035B">
        <w:rPr>
          <w:rFonts w:ascii="Century Gothic" w:hAnsi="Century Gothic"/>
          <w:b/>
          <w:lang w:val="es-MX"/>
        </w:rPr>
        <w:t>(</w:t>
      </w:r>
      <w:r w:rsidR="00CB764A">
        <w:rPr>
          <w:rFonts w:ascii="Century Gothic" w:hAnsi="Century Gothic"/>
          <w:b/>
          <w:lang w:val="es-MX"/>
        </w:rPr>
        <w:t>Trescientos cincuenta y siete millones setecientos sesenta y cuatro mil ochocientos noventa y nueve</w:t>
      </w:r>
      <w:r w:rsidR="00683907" w:rsidRPr="0050035B">
        <w:rPr>
          <w:rFonts w:ascii="Century Gothic" w:hAnsi="Century Gothic"/>
          <w:b/>
          <w:lang w:val="es-MX"/>
        </w:rPr>
        <w:t xml:space="preserve"> </w:t>
      </w:r>
      <w:r w:rsidR="00042B30" w:rsidRPr="0050035B">
        <w:rPr>
          <w:rFonts w:ascii="Century Gothic" w:hAnsi="Century Gothic"/>
          <w:b/>
          <w:lang w:val="es-MX"/>
        </w:rPr>
        <w:t xml:space="preserve">pesos </w:t>
      </w:r>
      <w:r w:rsidR="00CB764A">
        <w:rPr>
          <w:rFonts w:ascii="Century Gothic" w:hAnsi="Century Gothic"/>
          <w:b/>
          <w:lang w:val="es-MX"/>
        </w:rPr>
        <w:t>69</w:t>
      </w:r>
      <w:r w:rsidR="00042B30" w:rsidRPr="0050035B">
        <w:rPr>
          <w:rFonts w:ascii="Century Gothic" w:hAnsi="Century Gothic"/>
          <w:b/>
          <w:lang w:val="es-MX"/>
        </w:rPr>
        <w:t>/100 Moneda Nacional)</w:t>
      </w:r>
      <w:r w:rsidR="00042B30" w:rsidRPr="0050035B">
        <w:rPr>
          <w:rFonts w:ascii="Century Gothic" w:hAnsi="Century Gothic"/>
          <w:lang w:val="es-MX"/>
        </w:rPr>
        <w:t xml:space="preserve"> que representa un </w:t>
      </w:r>
      <w:r w:rsidR="00683907" w:rsidRPr="0050035B">
        <w:rPr>
          <w:rFonts w:ascii="Century Gothic" w:hAnsi="Century Gothic"/>
          <w:lang w:val="es-MX"/>
        </w:rPr>
        <w:t>decremento</w:t>
      </w:r>
      <w:r w:rsidR="00CB764A">
        <w:rPr>
          <w:rFonts w:ascii="Century Gothic" w:hAnsi="Century Gothic"/>
          <w:lang w:val="es-MX"/>
        </w:rPr>
        <w:t xml:space="preserve"> considerable</w:t>
      </w:r>
      <w:r w:rsidR="00193FE7" w:rsidRPr="0050035B">
        <w:rPr>
          <w:rFonts w:ascii="Century Gothic" w:hAnsi="Century Gothic"/>
          <w:lang w:val="es-MX"/>
        </w:rPr>
        <w:t xml:space="preserve">, con </w:t>
      </w:r>
      <w:r w:rsidR="00CB764A">
        <w:rPr>
          <w:rFonts w:ascii="Century Gothic" w:hAnsi="Century Gothic"/>
          <w:lang w:val="es-MX"/>
        </w:rPr>
        <w:t xml:space="preserve">un </w:t>
      </w:r>
      <w:r w:rsidR="00683907" w:rsidRPr="0050035B">
        <w:rPr>
          <w:rFonts w:ascii="Century Gothic" w:hAnsi="Century Gothic"/>
          <w:lang w:val="es-MX"/>
        </w:rPr>
        <w:t>18.1</w:t>
      </w:r>
      <w:r w:rsidR="00CB764A">
        <w:rPr>
          <w:rFonts w:ascii="Century Gothic" w:hAnsi="Century Gothic"/>
          <w:lang w:val="es-MX"/>
        </w:rPr>
        <w:t>0</w:t>
      </w:r>
      <w:r w:rsidR="00193FE7" w:rsidRPr="0050035B">
        <w:rPr>
          <w:rFonts w:ascii="Century Gothic" w:hAnsi="Century Gothic"/>
          <w:lang w:val="es-MX"/>
        </w:rPr>
        <w:t xml:space="preserve">% </w:t>
      </w:r>
      <w:r w:rsidR="00683907" w:rsidRPr="0050035B">
        <w:rPr>
          <w:rFonts w:ascii="Century Gothic" w:hAnsi="Century Gothic"/>
          <w:lang w:val="es-MX"/>
        </w:rPr>
        <w:t>respecto a los</w:t>
      </w:r>
      <w:r w:rsidR="00B44FCD" w:rsidRPr="0050035B">
        <w:rPr>
          <w:rFonts w:ascii="Century Gothic" w:hAnsi="Century Gothic"/>
          <w:lang w:val="es-MX"/>
        </w:rPr>
        <w:t xml:space="preserve"> ingresos </w:t>
      </w:r>
      <w:r w:rsidR="00457FC5" w:rsidRPr="0050035B">
        <w:rPr>
          <w:rFonts w:ascii="Century Gothic" w:hAnsi="Century Gothic"/>
          <w:lang w:val="es-MX"/>
        </w:rPr>
        <w:t>estimados</w:t>
      </w:r>
      <w:r w:rsidR="00193FE7" w:rsidRPr="0050035B">
        <w:rPr>
          <w:rFonts w:ascii="Century Gothic" w:hAnsi="Century Gothic"/>
          <w:lang w:val="es-MX"/>
        </w:rPr>
        <w:t xml:space="preserve"> para el ejercicio fiscal </w:t>
      </w:r>
      <w:r w:rsidR="00846DE2" w:rsidRPr="0050035B">
        <w:rPr>
          <w:rFonts w:ascii="Century Gothic" w:hAnsi="Century Gothic"/>
          <w:lang w:val="es-MX"/>
        </w:rPr>
        <w:t>202</w:t>
      </w:r>
      <w:r w:rsidR="00CB764A">
        <w:rPr>
          <w:rFonts w:ascii="Century Gothic" w:hAnsi="Century Gothic"/>
          <w:lang w:val="es-MX"/>
        </w:rPr>
        <w:t>1</w:t>
      </w:r>
      <w:r w:rsidR="00B44FCD" w:rsidRPr="0050035B">
        <w:rPr>
          <w:rFonts w:ascii="Century Gothic" w:hAnsi="Century Gothic"/>
          <w:lang w:val="es-MX"/>
        </w:rPr>
        <w:t>.</w:t>
      </w:r>
      <w:r w:rsidR="00042B30" w:rsidRPr="0050035B">
        <w:rPr>
          <w:rFonts w:ascii="Century Gothic" w:hAnsi="Century Gothic"/>
          <w:lang w:val="es-MX"/>
        </w:rPr>
        <w:t xml:space="preserve"> </w:t>
      </w:r>
    </w:p>
    <w:p w:rsidR="002C6D7D" w:rsidRPr="0050035B" w:rsidRDefault="002C6D7D" w:rsidP="00A377A6">
      <w:pPr>
        <w:spacing w:line="360" w:lineRule="auto"/>
        <w:jc w:val="both"/>
        <w:rPr>
          <w:rFonts w:ascii="Century Gothic" w:hAnsi="Century Gothic"/>
          <w:lang w:val="es-MX"/>
        </w:rPr>
      </w:pPr>
    </w:p>
    <w:p w:rsidR="007B0C1A" w:rsidRDefault="007B0C1A" w:rsidP="00525451">
      <w:pPr>
        <w:jc w:val="center"/>
        <w:rPr>
          <w:rFonts w:ascii="Century Gothic" w:hAnsi="Century Gothic"/>
          <w:b/>
          <w:sz w:val="22"/>
          <w:szCs w:val="22"/>
          <w:lang w:val="es-MX"/>
        </w:rPr>
      </w:pPr>
    </w:p>
    <w:p w:rsidR="009412BE" w:rsidRDefault="009412BE" w:rsidP="00525451">
      <w:pPr>
        <w:jc w:val="center"/>
        <w:rPr>
          <w:rFonts w:ascii="Century Gothic" w:hAnsi="Century Gothic"/>
          <w:b/>
          <w:sz w:val="22"/>
          <w:szCs w:val="22"/>
          <w:lang w:val="es-MX"/>
        </w:rPr>
      </w:pPr>
    </w:p>
    <w:p w:rsidR="009412BE" w:rsidRDefault="009412BE" w:rsidP="00525451">
      <w:pPr>
        <w:jc w:val="center"/>
        <w:rPr>
          <w:rFonts w:ascii="Century Gothic" w:hAnsi="Century Gothic"/>
          <w:b/>
          <w:sz w:val="22"/>
          <w:szCs w:val="22"/>
          <w:lang w:val="es-MX"/>
        </w:rPr>
      </w:pPr>
    </w:p>
    <w:p w:rsidR="00525451" w:rsidRPr="0050035B" w:rsidRDefault="00762946" w:rsidP="00525451">
      <w:pPr>
        <w:jc w:val="center"/>
        <w:rPr>
          <w:rFonts w:ascii="Century Gothic" w:hAnsi="Century Gothic"/>
          <w:sz w:val="22"/>
          <w:szCs w:val="22"/>
          <w:lang w:val="es-MX"/>
        </w:rPr>
      </w:pPr>
      <w:r w:rsidRPr="0050035B">
        <w:rPr>
          <w:rFonts w:ascii="Century Gothic" w:hAnsi="Century Gothic"/>
          <w:b/>
          <w:sz w:val="22"/>
          <w:szCs w:val="22"/>
          <w:lang w:val="es-MX"/>
        </w:rPr>
        <w:lastRenderedPageBreak/>
        <w:t>Tabla 4.6</w:t>
      </w:r>
      <w:r w:rsidR="005267A7" w:rsidRPr="0050035B">
        <w:rPr>
          <w:rFonts w:ascii="Century Gothic" w:hAnsi="Century Gothic"/>
          <w:b/>
          <w:sz w:val="22"/>
          <w:szCs w:val="22"/>
          <w:lang w:val="es-MX"/>
        </w:rPr>
        <w:t>.</w:t>
      </w:r>
      <w:r w:rsidR="00525451" w:rsidRPr="0050035B">
        <w:rPr>
          <w:rFonts w:ascii="Century Gothic" w:hAnsi="Century Gothic"/>
          <w:b/>
          <w:sz w:val="22"/>
          <w:szCs w:val="22"/>
          <w:lang w:val="es-MX"/>
        </w:rPr>
        <w:t xml:space="preserve"> </w:t>
      </w:r>
      <w:r w:rsidR="00525451" w:rsidRPr="0050035B">
        <w:rPr>
          <w:rFonts w:ascii="Century Gothic" w:hAnsi="Century Gothic"/>
          <w:sz w:val="22"/>
          <w:szCs w:val="22"/>
          <w:lang w:val="es-MX"/>
        </w:rPr>
        <w:t>Comparativa de ingresos presupuestados por concepto de</w:t>
      </w:r>
    </w:p>
    <w:p w:rsidR="00525451" w:rsidRPr="0050035B" w:rsidRDefault="00525451" w:rsidP="00525451">
      <w:pPr>
        <w:jc w:val="center"/>
        <w:rPr>
          <w:rFonts w:ascii="Century Gothic" w:hAnsi="Century Gothic"/>
          <w:sz w:val="22"/>
          <w:szCs w:val="22"/>
          <w:lang w:val="es-MX"/>
        </w:rPr>
      </w:pPr>
      <w:r w:rsidRPr="0050035B">
        <w:rPr>
          <w:rFonts w:ascii="Century Gothic" w:hAnsi="Century Gothic"/>
          <w:sz w:val="22"/>
          <w:szCs w:val="22"/>
          <w:lang w:val="es-MX"/>
        </w:rPr>
        <w:t xml:space="preserve"> Pr</w:t>
      </w:r>
      <w:r w:rsidR="00BF1981" w:rsidRPr="0050035B">
        <w:rPr>
          <w:rFonts w:ascii="Century Gothic" w:hAnsi="Century Gothic"/>
          <w:sz w:val="22"/>
          <w:szCs w:val="22"/>
          <w:lang w:val="es-MX"/>
        </w:rPr>
        <w:t>oductos y Aprovechamientos</w:t>
      </w:r>
      <w:r w:rsidR="00B115B4" w:rsidRPr="0050035B">
        <w:rPr>
          <w:rFonts w:ascii="Century Gothic" w:hAnsi="Century Gothic"/>
          <w:sz w:val="22"/>
          <w:szCs w:val="22"/>
          <w:lang w:val="es-MX"/>
        </w:rPr>
        <w:t xml:space="preserve"> </w:t>
      </w:r>
      <w:r w:rsidR="008F6AF2" w:rsidRPr="0050035B">
        <w:rPr>
          <w:rFonts w:ascii="Century Gothic" w:hAnsi="Century Gothic"/>
          <w:sz w:val="22"/>
          <w:szCs w:val="22"/>
          <w:lang w:val="es-MX"/>
        </w:rPr>
        <w:t>(20</w:t>
      </w:r>
      <w:r w:rsidR="00CB764A">
        <w:rPr>
          <w:rFonts w:ascii="Century Gothic" w:hAnsi="Century Gothic"/>
          <w:sz w:val="22"/>
          <w:szCs w:val="22"/>
          <w:lang w:val="es-MX"/>
        </w:rPr>
        <w:t>20</w:t>
      </w:r>
      <w:r w:rsidR="008F6AF2" w:rsidRPr="0050035B">
        <w:rPr>
          <w:rFonts w:ascii="Century Gothic" w:hAnsi="Century Gothic"/>
          <w:sz w:val="22"/>
          <w:szCs w:val="22"/>
          <w:lang w:val="es-MX"/>
        </w:rPr>
        <w:t xml:space="preserve"> – 20</w:t>
      </w:r>
      <w:r w:rsidR="00846DE2" w:rsidRPr="0050035B">
        <w:rPr>
          <w:rFonts w:ascii="Century Gothic" w:hAnsi="Century Gothic"/>
          <w:sz w:val="22"/>
          <w:szCs w:val="22"/>
          <w:lang w:val="es-MX"/>
        </w:rPr>
        <w:t>2</w:t>
      </w:r>
      <w:r w:rsidR="00CB764A">
        <w:rPr>
          <w:rFonts w:ascii="Century Gothic" w:hAnsi="Century Gothic"/>
          <w:sz w:val="22"/>
          <w:szCs w:val="22"/>
          <w:lang w:val="es-MX"/>
        </w:rPr>
        <w:t>2</w:t>
      </w:r>
      <w:r w:rsidR="008F6AF2" w:rsidRPr="0050035B">
        <w:rPr>
          <w:rFonts w:ascii="Century Gothic" w:hAnsi="Century Gothic"/>
          <w:sz w:val="22"/>
          <w:szCs w:val="22"/>
          <w:lang w:val="es-MX"/>
        </w:rPr>
        <w:t>)</w:t>
      </w:r>
    </w:p>
    <w:tbl>
      <w:tblPr>
        <w:tblpPr w:leftFromText="141" w:rightFromText="141" w:vertAnchor="text" w:horzAnchor="margin" w:tblpXSpec="center" w:tblpY="128"/>
        <w:tblW w:w="4489" w:type="pct"/>
        <w:tblLook w:val="04A0" w:firstRow="1" w:lastRow="0" w:firstColumn="1" w:lastColumn="0" w:noHBand="0" w:noVBand="1"/>
      </w:tblPr>
      <w:tblGrid>
        <w:gridCol w:w="1883"/>
        <w:gridCol w:w="1577"/>
        <w:gridCol w:w="1577"/>
        <w:gridCol w:w="1578"/>
        <w:gridCol w:w="1281"/>
      </w:tblGrid>
      <w:tr w:rsidR="00846DE2" w:rsidRPr="0050035B" w:rsidTr="00E44364">
        <w:trPr>
          <w:trHeight w:val="320"/>
        </w:trPr>
        <w:tc>
          <w:tcPr>
            <w:tcW w:w="1192" w:type="pct"/>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846DE2" w:rsidRPr="00E44364" w:rsidRDefault="00846DE2" w:rsidP="00846DE2">
            <w:pPr>
              <w:jc w:val="center"/>
              <w:rPr>
                <w:rFonts w:ascii="Century Gothic" w:eastAsia="Times New Roman" w:hAnsi="Century Gothic" w:cs="Arial"/>
                <w:b/>
                <w:bCs/>
                <w:color w:val="000000" w:themeColor="text1"/>
                <w:sz w:val="18"/>
                <w:szCs w:val="18"/>
                <w:lang w:val="es-MX"/>
              </w:rPr>
            </w:pPr>
            <w:r w:rsidRPr="00E44364">
              <w:rPr>
                <w:rFonts w:ascii="Century Gothic" w:eastAsia="Times New Roman" w:hAnsi="Century Gothic" w:cs="Arial"/>
                <w:b/>
                <w:bCs/>
                <w:color w:val="000000" w:themeColor="text1"/>
                <w:sz w:val="18"/>
                <w:szCs w:val="18"/>
                <w:lang w:val="es-MX"/>
              </w:rPr>
              <w:t>CONCEPTO</w:t>
            </w:r>
          </w:p>
        </w:tc>
        <w:tc>
          <w:tcPr>
            <w:tcW w:w="999" w:type="pct"/>
            <w:tcBorders>
              <w:top w:val="single" w:sz="8" w:space="0" w:color="auto"/>
              <w:left w:val="nil"/>
              <w:bottom w:val="single" w:sz="4" w:space="0" w:color="auto"/>
              <w:right w:val="single" w:sz="4" w:space="0" w:color="auto"/>
            </w:tcBorders>
            <w:shd w:val="clear" w:color="auto" w:fill="FABF8F" w:themeFill="accent6" w:themeFillTint="99"/>
            <w:vAlign w:val="center"/>
            <w:hideMark/>
          </w:tcPr>
          <w:p w:rsidR="00846DE2" w:rsidRPr="00E44364" w:rsidRDefault="00CB764A" w:rsidP="00CB764A">
            <w:pPr>
              <w:jc w:val="center"/>
              <w:rPr>
                <w:rFonts w:ascii="Century Gothic" w:eastAsia="Times New Roman" w:hAnsi="Century Gothic" w:cs="Arial"/>
                <w:b/>
                <w:bCs/>
                <w:color w:val="000000" w:themeColor="text1"/>
                <w:sz w:val="18"/>
                <w:szCs w:val="18"/>
                <w:highlight w:val="yellow"/>
                <w:lang w:val="es-MX"/>
              </w:rPr>
            </w:pPr>
            <w:r w:rsidRPr="00E44364">
              <w:rPr>
                <w:rFonts w:ascii="Century Gothic" w:hAnsi="Century Gothic"/>
                <w:b/>
                <w:color w:val="000000" w:themeColor="text1"/>
                <w:sz w:val="16"/>
                <w:szCs w:val="16"/>
                <w:lang w:val="es-MX"/>
              </w:rPr>
              <w:t>Presupuesto aprobado 2020</w:t>
            </w:r>
          </w:p>
        </w:tc>
        <w:tc>
          <w:tcPr>
            <w:tcW w:w="999" w:type="pct"/>
            <w:tcBorders>
              <w:top w:val="single" w:sz="8" w:space="0" w:color="auto"/>
              <w:left w:val="nil"/>
              <w:bottom w:val="single" w:sz="4" w:space="0" w:color="auto"/>
              <w:right w:val="single" w:sz="8" w:space="0" w:color="auto"/>
            </w:tcBorders>
            <w:shd w:val="clear" w:color="auto" w:fill="FABF8F" w:themeFill="accent6" w:themeFillTint="99"/>
            <w:vAlign w:val="center"/>
            <w:hideMark/>
          </w:tcPr>
          <w:p w:rsidR="00846DE2" w:rsidRPr="00E44364" w:rsidRDefault="00846DE2" w:rsidP="00CB764A">
            <w:pPr>
              <w:jc w:val="center"/>
              <w:rPr>
                <w:rFonts w:ascii="Century Gothic" w:eastAsia="Times New Roman" w:hAnsi="Century Gothic" w:cs="Arial"/>
                <w:b/>
                <w:bCs/>
                <w:color w:val="000000" w:themeColor="text1"/>
                <w:sz w:val="18"/>
                <w:szCs w:val="18"/>
                <w:highlight w:val="yellow"/>
                <w:lang w:val="es-MX"/>
              </w:rPr>
            </w:pPr>
            <w:r w:rsidRPr="00E44364">
              <w:rPr>
                <w:rFonts w:ascii="Century Gothic" w:hAnsi="Century Gothic"/>
                <w:b/>
                <w:color w:val="000000" w:themeColor="text1"/>
                <w:sz w:val="18"/>
                <w:szCs w:val="16"/>
                <w:lang w:val="es-MX"/>
              </w:rPr>
              <w:t>Presupuesto aprobado 202</w:t>
            </w:r>
            <w:r w:rsidR="00CB764A" w:rsidRPr="00E44364">
              <w:rPr>
                <w:rFonts w:ascii="Century Gothic" w:hAnsi="Century Gothic"/>
                <w:b/>
                <w:color w:val="000000" w:themeColor="text1"/>
                <w:sz w:val="18"/>
                <w:szCs w:val="16"/>
                <w:lang w:val="es-MX"/>
              </w:rPr>
              <w:t>1</w:t>
            </w:r>
          </w:p>
        </w:tc>
        <w:tc>
          <w:tcPr>
            <w:tcW w:w="999" w:type="pct"/>
            <w:tcBorders>
              <w:top w:val="single" w:sz="8" w:space="0" w:color="auto"/>
              <w:left w:val="nil"/>
              <w:bottom w:val="single" w:sz="4" w:space="0" w:color="auto"/>
              <w:right w:val="single" w:sz="8" w:space="0" w:color="auto"/>
            </w:tcBorders>
            <w:shd w:val="clear" w:color="auto" w:fill="FABF8F" w:themeFill="accent6" w:themeFillTint="99"/>
            <w:vAlign w:val="center"/>
          </w:tcPr>
          <w:p w:rsidR="00846DE2" w:rsidRPr="00E44364" w:rsidRDefault="00846DE2" w:rsidP="00CB764A">
            <w:pPr>
              <w:jc w:val="center"/>
              <w:rPr>
                <w:rFonts w:ascii="Century Gothic" w:eastAsia="Times New Roman" w:hAnsi="Century Gothic" w:cs="Arial"/>
                <w:b/>
                <w:bCs/>
                <w:color w:val="000000" w:themeColor="text1"/>
                <w:sz w:val="18"/>
                <w:szCs w:val="18"/>
                <w:highlight w:val="yellow"/>
                <w:lang w:val="es-MX"/>
              </w:rPr>
            </w:pPr>
            <w:r w:rsidRPr="00E44364">
              <w:rPr>
                <w:rFonts w:ascii="Century Gothic" w:eastAsia="Times New Roman" w:hAnsi="Century Gothic" w:cs="Arial"/>
                <w:b/>
                <w:color w:val="000000" w:themeColor="text1"/>
                <w:sz w:val="18"/>
                <w:szCs w:val="16"/>
                <w:lang w:val="es-MX" w:eastAsia="es-MX"/>
              </w:rPr>
              <w:t>Proyecto de Presupuesto 202</w:t>
            </w:r>
            <w:r w:rsidR="00CB764A" w:rsidRPr="00E44364">
              <w:rPr>
                <w:rFonts w:ascii="Century Gothic" w:eastAsia="Times New Roman" w:hAnsi="Century Gothic" w:cs="Arial"/>
                <w:b/>
                <w:color w:val="000000" w:themeColor="text1"/>
                <w:sz w:val="18"/>
                <w:szCs w:val="16"/>
                <w:lang w:val="es-MX" w:eastAsia="es-MX"/>
              </w:rPr>
              <w:t>2</w:t>
            </w:r>
          </w:p>
        </w:tc>
        <w:tc>
          <w:tcPr>
            <w:tcW w:w="811" w:type="pct"/>
            <w:tcBorders>
              <w:top w:val="single" w:sz="8" w:space="0" w:color="auto"/>
              <w:left w:val="nil"/>
              <w:bottom w:val="single" w:sz="4" w:space="0" w:color="auto"/>
              <w:right w:val="single" w:sz="8" w:space="0" w:color="auto"/>
            </w:tcBorders>
            <w:shd w:val="clear" w:color="auto" w:fill="FABF8F" w:themeFill="accent6" w:themeFillTint="99"/>
            <w:vAlign w:val="center"/>
          </w:tcPr>
          <w:p w:rsidR="00846DE2" w:rsidRPr="00E44364" w:rsidRDefault="00846DE2" w:rsidP="00CB764A">
            <w:pPr>
              <w:jc w:val="center"/>
              <w:rPr>
                <w:rFonts w:ascii="Century Gothic" w:eastAsia="Times New Roman" w:hAnsi="Century Gothic" w:cs="Arial"/>
                <w:b/>
                <w:bCs/>
                <w:color w:val="000000" w:themeColor="text1"/>
                <w:sz w:val="18"/>
                <w:szCs w:val="18"/>
                <w:highlight w:val="yellow"/>
                <w:lang w:val="es-MX" w:eastAsia="es-ES"/>
              </w:rPr>
            </w:pPr>
            <w:r w:rsidRPr="00E44364">
              <w:rPr>
                <w:rFonts w:ascii="Century Gothic" w:eastAsia="Times New Roman" w:hAnsi="Century Gothic" w:cs="Arial"/>
                <w:b/>
                <w:color w:val="000000" w:themeColor="text1"/>
                <w:sz w:val="16"/>
                <w:szCs w:val="16"/>
                <w:lang w:val="es-MX" w:eastAsia="es-MX"/>
              </w:rPr>
              <w:t>Tasa de Crecimiento (TdC) 202</w:t>
            </w:r>
            <w:r w:rsidR="00CB764A" w:rsidRPr="00E44364">
              <w:rPr>
                <w:rFonts w:ascii="Century Gothic" w:eastAsia="Times New Roman" w:hAnsi="Century Gothic" w:cs="Arial"/>
                <w:b/>
                <w:color w:val="000000" w:themeColor="text1"/>
                <w:sz w:val="16"/>
                <w:szCs w:val="16"/>
                <w:lang w:val="es-MX" w:eastAsia="es-MX"/>
              </w:rPr>
              <w:t xml:space="preserve">2 </w:t>
            </w:r>
            <w:r w:rsidRPr="00E44364">
              <w:rPr>
                <w:rFonts w:ascii="Century Gothic" w:eastAsia="Times New Roman" w:hAnsi="Century Gothic" w:cs="Arial"/>
                <w:b/>
                <w:color w:val="000000" w:themeColor="text1"/>
                <w:sz w:val="16"/>
                <w:szCs w:val="16"/>
                <w:lang w:val="es-MX" w:eastAsia="es-MX"/>
              </w:rPr>
              <w:t>respecto 202</w:t>
            </w:r>
            <w:r w:rsidR="00CB764A" w:rsidRPr="00E44364">
              <w:rPr>
                <w:rFonts w:ascii="Century Gothic" w:eastAsia="Times New Roman" w:hAnsi="Century Gothic" w:cs="Arial"/>
                <w:b/>
                <w:color w:val="000000" w:themeColor="text1"/>
                <w:sz w:val="16"/>
                <w:szCs w:val="16"/>
                <w:lang w:val="es-MX" w:eastAsia="es-MX"/>
              </w:rPr>
              <w:t>1</w:t>
            </w:r>
          </w:p>
        </w:tc>
      </w:tr>
      <w:tr w:rsidR="00CB764A" w:rsidRPr="0050035B" w:rsidTr="005267A7">
        <w:trPr>
          <w:trHeight w:val="320"/>
        </w:trPr>
        <w:tc>
          <w:tcPr>
            <w:tcW w:w="1192" w:type="pct"/>
            <w:tcBorders>
              <w:top w:val="nil"/>
              <w:left w:val="single" w:sz="8" w:space="0" w:color="auto"/>
              <w:bottom w:val="single" w:sz="4" w:space="0" w:color="auto"/>
              <w:right w:val="single" w:sz="4" w:space="0" w:color="auto"/>
            </w:tcBorders>
            <w:shd w:val="clear" w:color="auto" w:fill="595959" w:themeFill="text1" w:themeFillTint="A6"/>
            <w:noWrap/>
            <w:vAlign w:val="center"/>
            <w:hideMark/>
          </w:tcPr>
          <w:p w:rsidR="00CB764A" w:rsidRPr="0050035B" w:rsidRDefault="00CB764A" w:rsidP="00CB764A">
            <w:pPr>
              <w:jc w:val="center"/>
              <w:rPr>
                <w:rFonts w:ascii="Century Gothic" w:eastAsia="Times New Roman" w:hAnsi="Century Gothic" w:cs="Arial"/>
                <w:b/>
                <w:color w:val="FFFFFF" w:themeColor="background1"/>
                <w:sz w:val="18"/>
                <w:szCs w:val="18"/>
                <w:lang w:val="es-MX"/>
              </w:rPr>
            </w:pPr>
            <w:r w:rsidRPr="0050035B">
              <w:rPr>
                <w:rFonts w:ascii="Century Gothic" w:eastAsia="Times New Roman" w:hAnsi="Century Gothic" w:cs="Arial"/>
                <w:b/>
                <w:color w:val="FFFFFF" w:themeColor="background1"/>
                <w:sz w:val="18"/>
                <w:szCs w:val="18"/>
                <w:lang w:val="es-MX"/>
              </w:rPr>
              <w:t>Productos</w:t>
            </w:r>
          </w:p>
        </w:tc>
        <w:tc>
          <w:tcPr>
            <w:tcW w:w="999" w:type="pct"/>
            <w:tcBorders>
              <w:top w:val="nil"/>
              <w:left w:val="nil"/>
              <w:bottom w:val="single" w:sz="4" w:space="0" w:color="auto"/>
              <w:right w:val="single" w:sz="4" w:space="0" w:color="auto"/>
            </w:tcBorders>
            <w:shd w:val="clear" w:color="auto" w:fill="auto"/>
            <w:noWrap/>
            <w:vAlign w:val="center"/>
            <w:hideMark/>
          </w:tcPr>
          <w:p w:rsidR="00CB764A" w:rsidRPr="0050035B" w:rsidRDefault="00CB764A" w:rsidP="00CB764A">
            <w:pPr>
              <w:jc w:val="center"/>
              <w:rPr>
                <w:rFonts w:ascii="Century Gothic" w:eastAsia="Times New Roman" w:hAnsi="Century Gothic" w:cs="Arial"/>
                <w:strike/>
                <w:color w:val="000000"/>
                <w:sz w:val="16"/>
                <w:szCs w:val="16"/>
                <w:highlight w:val="yellow"/>
                <w:lang w:val="es-MX"/>
              </w:rPr>
            </w:pPr>
            <w:r>
              <w:rPr>
                <w:rFonts w:ascii="Century Gothic" w:hAnsi="Century Gothic" w:cs="Calibri"/>
                <w:color w:val="000000"/>
                <w:sz w:val="18"/>
                <w:szCs w:val="18"/>
              </w:rPr>
              <w:t>$231,197,813.94</w:t>
            </w:r>
          </w:p>
        </w:tc>
        <w:tc>
          <w:tcPr>
            <w:tcW w:w="999" w:type="pct"/>
            <w:tcBorders>
              <w:top w:val="nil"/>
              <w:left w:val="nil"/>
              <w:bottom w:val="single" w:sz="4" w:space="0" w:color="auto"/>
              <w:right w:val="single" w:sz="8" w:space="0" w:color="auto"/>
            </w:tcBorders>
            <w:shd w:val="clear" w:color="auto" w:fill="auto"/>
            <w:noWrap/>
            <w:vAlign w:val="center"/>
            <w:hideMark/>
          </w:tcPr>
          <w:p w:rsidR="00CB764A" w:rsidRPr="0050035B" w:rsidRDefault="00CB764A" w:rsidP="00CB764A">
            <w:pPr>
              <w:jc w:val="center"/>
              <w:rPr>
                <w:rFonts w:ascii="Century Gothic" w:eastAsia="Times New Roman" w:hAnsi="Century Gothic" w:cs="Arial"/>
                <w:strike/>
                <w:color w:val="000000"/>
                <w:sz w:val="16"/>
                <w:szCs w:val="16"/>
                <w:highlight w:val="yellow"/>
                <w:lang w:val="es-MX"/>
              </w:rPr>
            </w:pPr>
            <w:r>
              <w:rPr>
                <w:rFonts w:ascii="Century Gothic" w:hAnsi="Century Gothic" w:cs="Calibri"/>
                <w:color w:val="000000"/>
                <w:sz w:val="18"/>
                <w:szCs w:val="18"/>
              </w:rPr>
              <w:t>$141,702,946.36</w:t>
            </w:r>
          </w:p>
        </w:tc>
        <w:tc>
          <w:tcPr>
            <w:tcW w:w="999" w:type="pct"/>
            <w:tcBorders>
              <w:top w:val="nil"/>
              <w:left w:val="nil"/>
              <w:bottom w:val="single" w:sz="4" w:space="0" w:color="auto"/>
              <w:right w:val="single" w:sz="8" w:space="0" w:color="auto"/>
            </w:tcBorders>
            <w:vAlign w:val="center"/>
          </w:tcPr>
          <w:p w:rsidR="00CB764A" w:rsidRPr="0050035B" w:rsidRDefault="00CB764A" w:rsidP="00CB764A">
            <w:pPr>
              <w:jc w:val="center"/>
              <w:rPr>
                <w:rFonts w:ascii="Century Gothic" w:eastAsia="Times New Roman" w:hAnsi="Century Gothic" w:cs="Arial"/>
                <w:strike/>
                <w:color w:val="000000"/>
                <w:sz w:val="16"/>
                <w:szCs w:val="16"/>
                <w:highlight w:val="yellow"/>
                <w:lang w:val="es-MX"/>
              </w:rPr>
            </w:pPr>
            <w:r>
              <w:rPr>
                <w:rFonts w:ascii="Century Gothic" w:hAnsi="Century Gothic" w:cs="Calibri"/>
                <w:color w:val="000000"/>
                <w:sz w:val="18"/>
                <w:szCs w:val="18"/>
              </w:rPr>
              <w:t>$129,665,602.07</w:t>
            </w:r>
          </w:p>
        </w:tc>
        <w:tc>
          <w:tcPr>
            <w:tcW w:w="811" w:type="pct"/>
            <w:tcBorders>
              <w:top w:val="nil"/>
              <w:left w:val="nil"/>
              <w:bottom w:val="single" w:sz="4" w:space="0" w:color="auto"/>
              <w:right w:val="single" w:sz="8" w:space="0" w:color="auto"/>
            </w:tcBorders>
            <w:vAlign w:val="center"/>
          </w:tcPr>
          <w:p w:rsidR="00CB764A" w:rsidRPr="0050035B" w:rsidRDefault="00CB764A" w:rsidP="00CB764A">
            <w:pPr>
              <w:jc w:val="center"/>
              <w:rPr>
                <w:rFonts w:ascii="Calibri" w:hAnsi="Calibri" w:cs="Calibri"/>
                <w:strike/>
                <w:color w:val="000000"/>
                <w:sz w:val="16"/>
                <w:szCs w:val="16"/>
                <w:highlight w:val="yellow"/>
                <w:lang w:val="es-MX"/>
              </w:rPr>
            </w:pPr>
            <w:r>
              <w:rPr>
                <w:rFonts w:ascii="Century Gothic" w:hAnsi="Century Gothic" w:cs="Calibri"/>
                <w:color w:val="000000"/>
                <w:sz w:val="18"/>
                <w:szCs w:val="18"/>
              </w:rPr>
              <w:t>-8.49%</w:t>
            </w:r>
          </w:p>
        </w:tc>
      </w:tr>
      <w:tr w:rsidR="00CB764A" w:rsidRPr="0050035B" w:rsidTr="005267A7">
        <w:trPr>
          <w:trHeight w:val="340"/>
        </w:trPr>
        <w:tc>
          <w:tcPr>
            <w:tcW w:w="1192" w:type="pct"/>
            <w:tcBorders>
              <w:top w:val="nil"/>
              <w:left w:val="single" w:sz="8" w:space="0" w:color="auto"/>
              <w:bottom w:val="single" w:sz="8" w:space="0" w:color="auto"/>
              <w:right w:val="single" w:sz="4" w:space="0" w:color="auto"/>
            </w:tcBorders>
            <w:shd w:val="clear" w:color="auto" w:fill="595959" w:themeFill="text1" w:themeFillTint="A6"/>
            <w:noWrap/>
            <w:vAlign w:val="center"/>
            <w:hideMark/>
          </w:tcPr>
          <w:p w:rsidR="00CB764A" w:rsidRPr="0050035B" w:rsidRDefault="00CB764A" w:rsidP="00CB764A">
            <w:pPr>
              <w:jc w:val="center"/>
              <w:rPr>
                <w:rFonts w:ascii="Century Gothic" w:eastAsia="Times New Roman" w:hAnsi="Century Gothic" w:cs="Arial"/>
                <w:b/>
                <w:color w:val="FFFFFF" w:themeColor="background1"/>
                <w:sz w:val="18"/>
                <w:szCs w:val="18"/>
                <w:lang w:val="es-MX"/>
              </w:rPr>
            </w:pPr>
            <w:r w:rsidRPr="0050035B">
              <w:rPr>
                <w:rFonts w:ascii="Century Gothic" w:eastAsia="Times New Roman" w:hAnsi="Century Gothic" w:cs="Arial"/>
                <w:b/>
                <w:color w:val="FFFFFF" w:themeColor="background1"/>
                <w:sz w:val="18"/>
                <w:szCs w:val="18"/>
                <w:lang w:val="es-MX"/>
              </w:rPr>
              <w:t>Aprovechamientos</w:t>
            </w:r>
          </w:p>
        </w:tc>
        <w:tc>
          <w:tcPr>
            <w:tcW w:w="999" w:type="pct"/>
            <w:tcBorders>
              <w:top w:val="nil"/>
              <w:left w:val="nil"/>
              <w:bottom w:val="single" w:sz="8" w:space="0" w:color="auto"/>
              <w:right w:val="single" w:sz="4" w:space="0" w:color="auto"/>
            </w:tcBorders>
            <w:shd w:val="clear" w:color="auto" w:fill="auto"/>
            <w:noWrap/>
            <w:vAlign w:val="center"/>
            <w:hideMark/>
          </w:tcPr>
          <w:p w:rsidR="00CB764A" w:rsidRPr="0050035B" w:rsidRDefault="00CB764A" w:rsidP="00CB764A">
            <w:pPr>
              <w:jc w:val="center"/>
              <w:rPr>
                <w:rFonts w:ascii="Century Gothic" w:eastAsia="Times New Roman" w:hAnsi="Century Gothic" w:cs="Arial"/>
                <w:strike/>
                <w:color w:val="000000"/>
                <w:sz w:val="16"/>
                <w:szCs w:val="16"/>
                <w:highlight w:val="yellow"/>
                <w:lang w:val="es-MX"/>
              </w:rPr>
            </w:pPr>
            <w:r>
              <w:rPr>
                <w:rFonts w:ascii="Century Gothic" w:hAnsi="Century Gothic" w:cs="Calibri"/>
                <w:color w:val="000000"/>
                <w:sz w:val="18"/>
                <w:szCs w:val="18"/>
              </w:rPr>
              <w:t>$302,272,840.01</w:t>
            </w:r>
          </w:p>
        </w:tc>
        <w:tc>
          <w:tcPr>
            <w:tcW w:w="999" w:type="pct"/>
            <w:tcBorders>
              <w:top w:val="nil"/>
              <w:left w:val="nil"/>
              <w:bottom w:val="single" w:sz="8" w:space="0" w:color="auto"/>
              <w:right w:val="single" w:sz="8" w:space="0" w:color="auto"/>
            </w:tcBorders>
            <w:shd w:val="clear" w:color="auto" w:fill="auto"/>
            <w:noWrap/>
            <w:vAlign w:val="center"/>
            <w:hideMark/>
          </w:tcPr>
          <w:p w:rsidR="00CB764A" w:rsidRPr="0050035B" w:rsidRDefault="00CB764A" w:rsidP="00CB764A">
            <w:pPr>
              <w:jc w:val="center"/>
              <w:rPr>
                <w:rFonts w:ascii="Century Gothic" w:eastAsia="Times New Roman" w:hAnsi="Century Gothic" w:cs="Arial"/>
                <w:strike/>
                <w:color w:val="000000"/>
                <w:sz w:val="16"/>
                <w:szCs w:val="16"/>
                <w:highlight w:val="yellow"/>
                <w:lang w:val="es-MX"/>
              </w:rPr>
            </w:pPr>
            <w:r>
              <w:rPr>
                <w:rFonts w:ascii="Century Gothic" w:hAnsi="Century Gothic" w:cs="Calibri"/>
                <w:color w:val="000000"/>
                <w:sz w:val="18"/>
                <w:szCs w:val="18"/>
              </w:rPr>
              <w:t>$295,116,297.27</w:t>
            </w:r>
          </w:p>
        </w:tc>
        <w:tc>
          <w:tcPr>
            <w:tcW w:w="999" w:type="pct"/>
            <w:tcBorders>
              <w:top w:val="nil"/>
              <w:left w:val="nil"/>
              <w:bottom w:val="single" w:sz="8" w:space="0" w:color="auto"/>
              <w:right w:val="single" w:sz="8" w:space="0" w:color="auto"/>
            </w:tcBorders>
            <w:vAlign w:val="center"/>
          </w:tcPr>
          <w:p w:rsidR="00CB764A" w:rsidRPr="0050035B" w:rsidRDefault="00CB764A" w:rsidP="00CB764A">
            <w:pPr>
              <w:jc w:val="center"/>
              <w:rPr>
                <w:rFonts w:ascii="Century Gothic" w:eastAsia="Times New Roman" w:hAnsi="Century Gothic" w:cs="Arial"/>
                <w:strike/>
                <w:color w:val="000000"/>
                <w:sz w:val="16"/>
                <w:szCs w:val="16"/>
                <w:highlight w:val="yellow"/>
                <w:lang w:val="es-MX"/>
              </w:rPr>
            </w:pPr>
            <w:r>
              <w:rPr>
                <w:rFonts w:ascii="Century Gothic" w:hAnsi="Century Gothic" w:cs="Calibri"/>
                <w:color w:val="000000"/>
                <w:sz w:val="18"/>
                <w:szCs w:val="18"/>
              </w:rPr>
              <w:t>$228,099,297.62</w:t>
            </w:r>
          </w:p>
        </w:tc>
        <w:tc>
          <w:tcPr>
            <w:tcW w:w="811" w:type="pct"/>
            <w:tcBorders>
              <w:top w:val="nil"/>
              <w:left w:val="nil"/>
              <w:bottom w:val="single" w:sz="8" w:space="0" w:color="auto"/>
              <w:right w:val="single" w:sz="8" w:space="0" w:color="auto"/>
            </w:tcBorders>
            <w:vAlign w:val="center"/>
          </w:tcPr>
          <w:p w:rsidR="00CB764A" w:rsidRPr="0050035B" w:rsidRDefault="00CB764A" w:rsidP="00CB764A">
            <w:pPr>
              <w:jc w:val="center"/>
              <w:rPr>
                <w:rFonts w:ascii="Calibri" w:hAnsi="Calibri" w:cs="Calibri"/>
                <w:strike/>
                <w:color w:val="000000"/>
                <w:sz w:val="16"/>
                <w:szCs w:val="16"/>
                <w:highlight w:val="yellow"/>
                <w:lang w:val="es-MX"/>
              </w:rPr>
            </w:pPr>
            <w:r>
              <w:rPr>
                <w:rFonts w:ascii="Century Gothic" w:hAnsi="Century Gothic" w:cs="Calibri"/>
                <w:color w:val="000000"/>
                <w:sz w:val="18"/>
                <w:szCs w:val="18"/>
              </w:rPr>
              <w:t>-22.71%</w:t>
            </w:r>
          </w:p>
        </w:tc>
      </w:tr>
      <w:tr w:rsidR="00CB764A" w:rsidRPr="0050035B" w:rsidTr="005267A7">
        <w:trPr>
          <w:trHeight w:val="340"/>
        </w:trPr>
        <w:tc>
          <w:tcPr>
            <w:tcW w:w="1192" w:type="pct"/>
            <w:tcBorders>
              <w:top w:val="nil"/>
              <w:left w:val="single" w:sz="8" w:space="0" w:color="auto"/>
              <w:bottom w:val="single" w:sz="8" w:space="0" w:color="auto"/>
              <w:right w:val="single" w:sz="4" w:space="0" w:color="auto"/>
            </w:tcBorders>
            <w:shd w:val="clear" w:color="auto" w:fill="595959" w:themeFill="text1" w:themeFillTint="A6"/>
            <w:noWrap/>
            <w:vAlign w:val="center"/>
          </w:tcPr>
          <w:p w:rsidR="00CB764A" w:rsidRPr="0050035B" w:rsidRDefault="00CB764A" w:rsidP="00CB764A">
            <w:pPr>
              <w:jc w:val="center"/>
              <w:rPr>
                <w:rFonts w:ascii="Century Gothic" w:eastAsia="Times New Roman" w:hAnsi="Century Gothic" w:cs="Arial"/>
                <w:b/>
                <w:color w:val="FFFFFF" w:themeColor="background1"/>
                <w:sz w:val="18"/>
                <w:szCs w:val="18"/>
                <w:lang w:val="es-MX"/>
              </w:rPr>
            </w:pPr>
            <w:r w:rsidRPr="0050035B">
              <w:rPr>
                <w:rFonts w:ascii="Century Gothic" w:eastAsia="Times New Roman" w:hAnsi="Century Gothic" w:cs="Arial"/>
                <w:b/>
                <w:color w:val="FFFFFF" w:themeColor="background1"/>
                <w:sz w:val="18"/>
                <w:szCs w:val="18"/>
                <w:lang w:val="es-MX"/>
              </w:rPr>
              <w:t>Total</w:t>
            </w:r>
          </w:p>
        </w:tc>
        <w:tc>
          <w:tcPr>
            <w:tcW w:w="999" w:type="pct"/>
            <w:tcBorders>
              <w:top w:val="nil"/>
              <w:left w:val="nil"/>
              <w:bottom w:val="single" w:sz="8" w:space="0" w:color="auto"/>
              <w:right w:val="single" w:sz="4" w:space="0" w:color="auto"/>
            </w:tcBorders>
            <w:shd w:val="clear" w:color="auto" w:fill="auto"/>
            <w:noWrap/>
            <w:vAlign w:val="center"/>
          </w:tcPr>
          <w:p w:rsidR="00CB764A" w:rsidRPr="0050035B" w:rsidRDefault="00CB764A" w:rsidP="00CB764A">
            <w:pPr>
              <w:jc w:val="center"/>
              <w:rPr>
                <w:rFonts w:ascii="Century Gothic" w:eastAsia="Times New Roman" w:hAnsi="Century Gothic" w:cs="Times New Roman"/>
                <w:b/>
                <w:strike/>
                <w:color w:val="000000"/>
                <w:sz w:val="16"/>
                <w:szCs w:val="16"/>
                <w:highlight w:val="yellow"/>
                <w:lang w:val="es-MX"/>
              </w:rPr>
            </w:pPr>
            <w:r>
              <w:rPr>
                <w:rFonts w:ascii="Century Gothic" w:hAnsi="Century Gothic" w:cs="Calibri"/>
                <w:b/>
                <w:bCs/>
                <w:color w:val="000000"/>
                <w:sz w:val="18"/>
                <w:szCs w:val="18"/>
              </w:rPr>
              <w:t>$533,470,653.95</w:t>
            </w:r>
          </w:p>
        </w:tc>
        <w:tc>
          <w:tcPr>
            <w:tcW w:w="999" w:type="pct"/>
            <w:tcBorders>
              <w:top w:val="nil"/>
              <w:left w:val="nil"/>
              <w:bottom w:val="single" w:sz="8" w:space="0" w:color="auto"/>
              <w:right w:val="single" w:sz="8" w:space="0" w:color="auto"/>
            </w:tcBorders>
            <w:shd w:val="clear" w:color="auto" w:fill="auto"/>
            <w:noWrap/>
            <w:vAlign w:val="center"/>
          </w:tcPr>
          <w:p w:rsidR="00CB764A" w:rsidRPr="0050035B" w:rsidRDefault="00CB764A" w:rsidP="00CB764A">
            <w:pPr>
              <w:jc w:val="center"/>
              <w:rPr>
                <w:rFonts w:ascii="Century Gothic" w:eastAsia="Times New Roman" w:hAnsi="Century Gothic" w:cs="Times New Roman"/>
                <w:b/>
                <w:strike/>
                <w:color w:val="000000"/>
                <w:sz w:val="16"/>
                <w:szCs w:val="16"/>
                <w:highlight w:val="yellow"/>
                <w:lang w:val="es-MX"/>
              </w:rPr>
            </w:pPr>
            <w:r>
              <w:rPr>
                <w:rFonts w:ascii="Century Gothic" w:hAnsi="Century Gothic" w:cs="Calibri"/>
                <w:b/>
                <w:bCs/>
                <w:color w:val="000000"/>
                <w:sz w:val="18"/>
                <w:szCs w:val="18"/>
              </w:rPr>
              <w:t>$436,819,243.63</w:t>
            </w:r>
          </w:p>
        </w:tc>
        <w:tc>
          <w:tcPr>
            <w:tcW w:w="999" w:type="pct"/>
            <w:tcBorders>
              <w:top w:val="nil"/>
              <w:left w:val="nil"/>
              <w:bottom w:val="single" w:sz="8" w:space="0" w:color="auto"/>
              <w:right w:val="single" w:sz="8" w:space="0" w:color="auto"/>
            </w:tcBorders>
            <w:vAlign w:val="center"/>
          </w:tcPr>
          <w:p w:rsidR="00CB764A" w:rsidRPr="0050035B" w:rsidRDefault="00CB764A" w:rsidP="00CB764A">
            <w:pPr>
              <w:jc w:val="center"/>
              <w:rPr>
                <w:rFonts w:ascii="Century Gothic" w:hAnsi="Century Gothic" w:cs="Calibri"/>
                <w:b/>
                <w:strike/>
                <w:color w:val="000000"/>
                <w:sz w:val="16"/>
                <w:szCs w:val="16"/>
                <w:highlight w:val="yellow"/>
                <w:lang w:val="es-MX"/>
              </w:rPr>
            </w:pPr>
            <w:r>
              <w:rPr>
                <w:rFonts w:ascii="Century Gothic" w:hAnsi="Century Gothic" w:cs="Calibri"/>
                <w:b/>
                <w:bCs/>
                <w:color w:val="000000"/>
                <w:sz w:val="18"/>
                <w:szCs w:val="18"/>
              </w:rPr>
              <w:t>$357,764,899.69</w:t>
            </w:r>
          </w:p>
        </w:tc>
        <w:tc>
          <w:tcPr>
            <w:tcW w:w="811" w:type="pct"/>
            <w:tcBorders>
              <w:top w:val="nil"/>
              <w:left w:val="nil"/>
              <w:bottom w:val="single" w:sz="8" w:space="0" w:color="auto"/>
              <w:right w:val="single" w:sz="8" w:space="0" w:color="auto"/>
            </w:tcBorders>
            <w:vAlign w:val="center"/>
          </w:tcPr>
          <w:p w:rsidR="00CB764A" w:rsidRPr="0050035B" w:rsidRDefault="00CB764A" w:rsidP="00CB764A">
            <w:pPr>
              <w:jc w:val="center"/>
              <w:rPr>
                <w:rFonts w:ascii="Century Gothic" w:hAnsi="Century Gothic" w:cs="Calibri"/>
                <w:b/>
                <w:strike/>
                <w:color w:val="000000"/>
                <w:sz w:val="16"/>
                <w:szCs w:val="16"/>
                <w:highlight w:val="yellow"/>
                <w:lang w:val="es-MX"/>
              </w:rPr>
            </w:pPr>
            <w:r>
              <w:rPr>
                <w:rFonts w:ascii="Century Gothic" w:hAnsi="Century Gothic" w:cs="Calibri"/>
                <w:b/>
                <w:bCs/>
                <w:color w:val="000000"/>
                <w:sz w:val="18"/>
                <w:szCs w:val="18"/>
              </w:rPr>
              <w:t>-18.10%</w:t>
            </w:r>
          </w:p>
        </w:tc>
      </w:tr>
    </w:tbl>
    <w:p w:rsidR="00696541" w:rsidRPr="0050035B" w:rsidRDefault="00042B30" w:rsidP="00B72AF1">
      <w:pPr>
        <w:spacing w:line="360" w:lineRule="auto"/>
        <w:ind w:firstLine="720"/>
        <w:jc w:val="both"/>
        <w:rPr>
          <w:rFonts w:ascii="Century Gothic" w:hAnsi="Century Gothic"/>
          <w:sz w:val="20"/>
          <w:szCs w:val="20"/>
          <w:lang w:val="es-MX"/>
        </w:rPr>
      </w:pPr>
      <w:r w:rsidRPr="0050035B">
        <w:rPr>
          <w:rFonts w:ascii="Century Gothic" w:hAnsi="Century Gothic"/>
          <w:b/>
          <w:bCs/>
          <w:sz w:val="20"/>
          <w:szCs w:val="20"/>
          <w:lang w:val="es-MX"/>
        </w:rPr>
        <w:t>Fuente</w:t>
      </w:r>
      <w:r w:rsidRPr="0050035B">
        <w:rPr>
          <w:rFonts w:ascii="Century Gothic" w:hAnsi="Century Gothic"/>
          <w:sz w:val="20"/>
          <w:szCs w:val="20"/>
          <w:lang w:val="es-MX"/>
        </w:rPr>
        <w:t>: Elaboración propia, 20</w:t>
      </w:r>
      <w:r w:rsidR="00846DE2" w:rsidRPr="0050035B">
        <w:rPr>
          <w:rFonts w:ascii="Century Gothic" w:hAnsi="Century Gothic"/>
          <w:sz w:val="20"/>
          <w:szCs w:val="20"/>
          <w:lang w:val="es-MX"/>
        </w:rPr>
        <w:t>2</w:t>
      </w:r>
      <w:r w:rsidR="00CB764A">
        <w:rPr>
          <w:rFonts w:ascii="Century Gothic" w:hAnsi="Century Gothic"/>
          <w:sz w:val="20"/>
          <w:szCs w:val="20"/>
          <w:lang w:val="es-MX"/>
        </w:rPr>
        <w:t>1</w:t>
      </w:r>
      <w:r w:rsidR="00B72AF1" w:rsidRPr="0050035B">
        <w:rPr>
          <w:rFonts w:ascii="Century Gothic" w:hAnsi="Century Gothic"/>
          <w:sz w:val="20"/>
          <w:szCs w:val="20"/>
          <w:lang w:val="es-MX"/>
        </w:rPr>
        <w:t>.</w:t>
      </w:r>
    </w:p>
    <w:p w:rsidR="00450CB0" w:rsidRPr="0050035B" w:rsidRDefault="00450CB0" w:rsidP="00B72AF1">
      <w:pPr>
        <w:spacing w:line="360" w:lineRule="auto"/>
        <w:jc w:val="both"/>
        <w:rPr>
          <w:rFonts w:ascii="Century Gothic" w:hAnsi="Century Gothic"/>
          <w:lang w:val="es-MX"/>
        </w:rPr>
      </w:pPr>
    </w:p>
    <w:p w:rsidR="0092669A" w:rsidRPr="0050035B" w:rsidRDefault="005267A7" w:rsidP="00B72AF1">
      <w:pPr>
        <w:spacing w:line="360" w:lineRule="auto"/>
        <w:jc w:val="both"/>
        <w:rPr>
          <w:rFonts w:ascii="Century Gothic" w:hAnsi="Century Gothic"/>
          <w:b/>
          <w:lang w:val="es-MX"/>
        </w:rPr>
      </w:pPr>
      <w:r w:rsidRPr="0050035B">
        <w:rPr>
          <w:rFonts w:ascii="Century Gothic" w:hAnsi="Century Gothic"/>
          <w:b/>
          <w:lang w:val="es-MX"/>
        </w:rPr>
        <w:t>4</w:t>
      </w:r>
      <w:r w:rsidR="00B72AF1" w:rsidRPr="0050035B">
        <w:rPr>
          <w:rFonts w:ascii="Century Gothic" w:hAnsi="Century Gothic"/>
          <w:b/>
          <w:lang w:val="es-MX"/>
        </w:rPr>
        <w:t>.5</w:t>
      </w:r>
      <w:r w:rsidR="000D24A0" w:rsidRPr="0050035B">
        <w:rPr>
          <w:rFonts w:ascii="Century Gothic" w:hAnsi="Century Gothic"/>
          <w:b/>
          <w:lang w:val="es-MX"/>
        </w:rPr>
        <w:t>.</w:t>
      </w:r>
      <w:r w:rsidR="00B72AF1" w:rsidRPr="0050035B">
        <w:rPr>
          <w:rFonts w:ascii="Century Gothic" w:hAnsi="Century Gothic"/>
          <w:b/>
          <w:lang w:val="es-MX"/>
        </w:rPr>
        <w:t xml:space="preserve"> </w:t>
      </w:r>
      <w:r w:rsidR="004C66BC" w:rsidRPr="0050035B">
        <w:rPr>
          <w:rFonts w:ascii="Century Gothic" w:hAnsi="Century Gothic"/>
          <w:b/>
          <w:lang w:val="es-MX"/>
        </w:rPr>
        <w:t xml:space="preserve">Distribución de los Ingresos por Concepto de </w:t>
      </w:r>
      <w:r w:rsidR="003B78F4" w:rsidRPr="0050035B">
        <w:rPr>
          <w:rFonts w:ascii="Century Gothic" w:hAnsi="Century Gothic"/>
          <w:b/>
          <w:lang w:val="es-MX"/>
        </w:rPr>
        <w:t>“</w:t>
      </w:r>
      <w:r w:rsidR="004C66BC" w:rsidRPr="0050035B">
        <w:rPr>
          <w:rFonts w:ascii="Century Gothic" w:hAnsi="Century Gothic"/>
          <w:b/>
          <w:i/>
          <w:lang w:val="es-MX"/>
        </w:rPr>
        <w:t>Participaciones, Aportaciones, Transferencias, Asignaciones, Subsidios y Otras Ayudas</w:t>
      </w:r>
      <w:r w:rsidR="003B78F4" w:rsidRPr="0050035B">
        <w:rPr>
          <w:rFonts w:ascii="Century Gothic" w:hAnsi="Century Gothic"/>
          <w:b/>
          <w:lang w:val="es-MX"/>
        </w:rPr>
        <w:t>”</w:t>
      </w:r>
      <w:r w:rsidR="00B115B4" w:rsidRPr="0050035B">
        <w:rPr>
          <w:rFonts w:ascii="Century Gothic" w:hAnsi="Century Gothic"/>
          <w:b/>
          <w:lang w:val="es-MX"/>
        </w:rPr>
        <w:t xml:space="preserve"> Presupuestados para el 20</w:t>
      </w:r>
      <w:r w:rsidR="00846DE2" w:rsidRPr="0050035B">
        <w:rPr>
          <w:rFonts w:ascii="Century Gothic" w:hAnsi="Century Gothic"/>
          <w:b/>
          <w:lang w:val="es-MX"/>
        </w:rPr>
        <w:t>2</w:t>
      </w:r>
      <w:r w:rsidR="00CB764A">
        <w:rPr>
          <w:rFonts w:ascii="Century Gothic" w:hAnsi="Century Gothic"/>
          <w:b/>
          <w:lang w:val="es-MX"/>
        </w:rPr>
        <w:t>2</w:t>
      </w:r>
    </w:p>
    <w:p w:rsidR="00762946" w:rsidRPr="0050035B" w:rsidRDefault="00762946" w:rsidP="00B72AF1">
      <w:pPr>
        <w:spacing w:line="360" w:lineRule="auto"/>
        <w:jc w:val="both"/>
        <w:rPr>
          <w:rFonts w:ascii="Century Gothic" w:hAnsi="Century Gothic"/>
          <w:b/>
          <w:lang w:val="es-MX"/>
        </w:rPr>
      </w:pPr>
    </w:p>
    <w:p w:rsidR="007B0C1A" w:rsidRDefault="008525FC" w:rsidP="00696541">
      <w:pPr>
        <w:spacing w:line="360" w:lineRule="auto"/>
        <w:jc w:val="both"/>
        <w:rPr>
          <w:rFonts w:ascii="Century Gothic" w:hAnsi="Century Gothic"/>
          <w:lang w:val="es-MX"/>
        </w:rPr>
      </w:pPr>
      <w:r w:rsidRPr="0050035B">
        <w:rPr>
          <w:rFonts w:ascii="Century Gothic" w:hAnsi="Century Gothic"/>
          <w:lang w:val="es-MX"/>
        </w:rPr>
        <w:t>Los ingresos del rubro de</w:t>
      </w:r>
      <w:r w:rsidRPr="0050035B">
        <w:rPr>
          <w:rFonts w:ascii="Century Gothic" w:hAnsi="Century Gothic"/>
          <w:b/>
          <w:i/>
          <w:lang w:val="es-MX"/>
        </w:rPr>
        <w:t xml:space="preserve"> “Participaciones, Aportaciones, Transferencias, Asignaciones, Subsidios y Otras Ayudas</w:t>
      </w:r>
      <w:r w:rsidRPr="0050035B">
        <w:rPr>
          <w:rFonts w:ascii="Century Gothic" w:hAnsi="Century Gothic"/>
          <w:b/>
          <w:lang w:val="es-MX"/>
        </w:rPr>
        <w:t>”</w:t>
      </w:r>
      <w:r w:rsidRPr="0050035B">
        <w:rPr>
          <w:rFonts w:ascii="Century Gothic" w:hAnsi="Century Gothic"/>
          <w:lang w:val="es-MX"/>
        </w:rPr>
        <w:t xml:space="preserve">, son conocidos </w:t>
      </w:r>
      <w:r w:rsidR="00325980" w:rsidRPr="0050035B">
        <w:rPr>
          <w:rFonts w:ascii="Century Gothic" w:hAnsi="Century Gothic"/>
          <w:lang w:val="es-MX"/>
        </w:rPr>
        <w:t xml:space="preserve">como </w:t>
      </w:r>
      <w:r w:rsidR="002404DF" w:rsidRPr="0050035B">
        <w:rPr>
          <w:rFonts w:ascii="Century Gothic" w:hAnsi="Century Gothic"/>
          <w:lang w:val="es-MX"/>
        </w:rPr>
        <w:t>tran</w:t>
      </w:r>
      <w:r w:rsidR="00395435" w:rsidRPr="0050035B">
        <w:rPr>
          <w:rFonts w:ascii="Century Gothic" w:hAnsi="Century Gothic"/>
          <w:lang w:val="es-MX"/>
        </w:rPr>
        <w:t xml:space="preserve">sferencias intergubernamentales, que son </w:t>
      </w:r>
      <w:r w:rsidR="00673633" w:rsidRPr="0050035B">
        <w:rPr>
          <w:rFonts w:ascii="Century Gothic" w:hAnsi="Century Gothic"/>
          <w:lang w:val="es-MX"/>
        </w:rPr>
        <w:t>los</w:t>
      </w:r>
      <w:r w:rsidR="00395435" w:rsidRPr="0050035B">
        <w:rPr>
          <w:rFonts w:ascii="Century Gothic" w:hAnsi="Century Gothic"/>
          <w:lang w:val="es-MX"/>
        </w:rPr>
        <w:t xml:space="preserve"> recursos que un gobierno otorga a otros</w:t>
      </w:r>
      <w:r w:rsidR="00B64658" w:rsidRPr="0050035B">
        <w:rPr>
          <w:rFonts w:ascii="Century Gothic" w:hAnsi="Century Gothic"/>
          <w:lang w:val="es-MX"/>
        </w:rPr>
        <w:t xml:space="preserve"> gobiernos</w:t>
      </w:r>
      <w:r w:rsidR="00B115B4" w:rsidRPr="0050035B">
        <w:rPr>
          <w:rFonts w:ascii="Century Gothic" w:hAnsi="Century Gothic"/>
          <w:lang w:val="es-MX"/>
        </w:rPr>
        <w:t xml:space="preserve"> beneficiarios.</w:t>
      </w:r>
      <w:r w:rsidRPr="0050035B">
        <w:rPr>
          <w:rFonts w:ascii="Century Gothic" w:hAnsi="Century Gothic"/>
          <w:lang w:val="es-MX"/>
        </w:rPr>
        <w:t xml:space="preserve"> El Gobierno Federal</w:t>
      </w:r>
      <w:r w:rsidR="00B115B4" w:rsidRPr="0050035B">
        <w:rPr>
          <w:rFonts w:ascii="Century Gothic" w:hAnsi="Century Gothic"/>
          <w:lang w:val="es-MX"/>
        </w:rPr>
        <w:t xml:space="preserve"> las otorga</w:t>
      </w:r>
      <w:r w:rsidRPr="0050035B">
        <w:rPr>
          <w:rFonts w:ascii="Century Gothic" w:hAnsi="Century Gothic"/>
          <w:lang w:val="es-MX"/>
        </w:rPr>
        <w:t xml:space="preserve"> a los gobiernos estatal y municipal y por su parte, los gobiernos estatales </w:t>
      </w:r>
      <w:r w:rsidR="00042B30" w:rsidRPr="0050035B">
        <w:rPr>
          <w:rFonts w:ascii="Century Gothic" w:hAnsi="Century Gothic"/>
          <w:lang w:val="es-MX"/>
        </w:rPr>
        <w:t xml:space="preserve">hacen lo propio con los gobiernos municipales. </w:t>
      </w:r>
      <w:r w:rsidR="007B0C1A">
        <w:rPr>
          <w:rFonts w:ascii="Century Gothic" w:hAnsi="Century Gothic"/>
          <w:lang w:val="es-MX"/>
        </w:rPr>
        <w:t>Lo anterior,</w:t>
      </w:r>
      <w:r w:rsidR="00042B30" w:rsidRPr="0050035B">
        <w:rPr>
          <w:rFonts w:ascii="Century Gothic" w:hAnsi="Century Gothic"/>
          <w:lang w:val="es-MX"/>
        </w:rPr>
        <w:t xml:space="preserve"> </w:t>
      </w:r>
      <w:r w:rsidR="00395435" w:rsidRPr="0050035B">
        <w:rPr>
          <w:rFonts w:ascii="Century Gothic" w:hAnsi="Century Gothic"/>
          <w:lang w:val="es-MX"/>
        </w:rPr>
        <w:t>con el objetivo de redistribuir los ingresos captados de una forma equitativa</w:t>
      </w:r>
      <w:r w:rsidR="00B64658" w:rsidRPr="0050035B">
        <w:rPr>
          <w:rFonts w:ascii="Century Gothic" w:hAnsi="Century Gothic"/>
          <w:lang w:val="es-MX"/>
        </w:rPr>
        <w:t>,</w:t>
      </w:r>
      <w:r w:rsidR="00395435" w:rsidRPr="0050035B">
        <w:rPr>
          <w:rFonts w:ascii="Century Gothic" w:hAnsi="Century Gothic"/>
          <w:lang w:val="es-MX"/>
        </w:rPr>
        <w:t xml:space="preserve"> entre los diversos gobiernos </w:t>
      </w:r>
      <w:r w:rsidR="00B64658" w:rsidRPr="0050035B">
        <w:rPr>
          <w:rFonts w:ascii="Century Gothic" w:hAnsi="Century Gothic"/>
          <w:lang w:val="es-MX"/>
        </w:rPr>
        <w:t>s</w:t>
      </w:r>
      <w:r w:rsidR="00395435" w:rsidRPr="0050035B">
        <w:rPr>
          <w:rFonts w:ascii="Century Gothic" w:hAnsi="Century Gothic"/>
          <w:lang w:val="es-MX"/>
        </w:rPr>
        <w:t>ubnacional</w:t>
      </w:r>
      <w:r w:rsidR="00562355" w:rsidRPr="0050035B">
        <w:rPr>
          <w:rFonts w:ascii="Century Gothic" w:hAnsi="Century Gothic"/>
          <w:lang w:val="es-MX"/>
        </w:rPr>
        <w:t>es</w:t>
      </w:r>
      <w:r w:rsidR="00B115B4" w:rsidRPr="0050035B">
        <w:rPr>
          <w:rFonts w:ascii="Century Gothic" w:hAnsi="Century Gothic"/>
          <w:lang w:val="es-MX"/>
        </w:rPr>
        <w:t>, para que é</w:t>
      </w:r>
      <w:r w:rsidR="00395435" w:rsidRPr="0050035B">
        <w:rPr>
          <w:rFonts w:ascii="Century Gothic" w:hAnsi="Century Gothic"/>
          <w:lang w:val="es-MX"/>
        </w:rPr>
        <w:t>stos financien su actuación</w:t>
      </w:r>
      <w:r w:rsidR="00C350C3" w:rsidRPr="0050035B">
        <w:rPr>
          <w:rFonts w:ascii="Century Gothic" w:hAnsi="Century Gothic"/>
          <w:lang w:val="es-MX"/>
        </w:rPr>
        <w:t xml:space="preserve"> de conformidad con la normatividad vigente</w:t>
      </w:r>
      <w:r w:rsidR="00395435" w:rsidRPr="0050035B">
        <w:rPr>
          <w:rFonts w:ascii="Century Gothic" w:hAnsi="Century Gothic"/>
          <w:lang w:val="es-MX"/>
        </w:rPr>
        <w:t>.</w:t>
      </w:r>
    </w:p>
    <w:p w:rsidR="007B0C1A" w:rsidRDefault="007B0C1A" w:rsidP="00696541">
      <w:pPr>
        <w:spacing w:line="360" w:lineRule="auto"/>
        <w:jc w:val="both"/>
        <w:rPr>
          <w:rFonts w:ascii="Century Gothic" w:hAnsi="Century Gothic"/>
          <w:lang w:val="es-MX"/>
        </w:rPr>
      </w:pPr>
    </w:p>
    <w:p w:rsidR="00BD3802" w:rsidRPr="0050035B" w:rsidRDefault="00395435" w:rsidP="007B0C1A">
      <w:pPr>
        <w:spacing w:line="360" w:lineRule="auto"/>
        <w:ind w:firstLine="720"/>
        <w:jc w:val="both"/>
        <w:rPr>
          <w:rFonts w:ascii="Century Gothic" w:hAnsi="Century Gothic"/>
          <w:lang w:val="es-MX"/>
        </w:rPr>
      </w:pPr>
      <w:r w:rsidRPr="0050035B">
        <w:rPr>
          <w:rFonts w:ascii="Century Gothic" w:hAnsi="Century Gothic"/>
          <w:lang w:val="es-MX"/>
        </w:rPr>
        <w:t xml:space="preserve">Estas transferencias pueden estar </w:t>
      </w:r>
      <w:r w:rsidR="00325980" w:rsidRPr="0050035B">
        <w:rPr>
          <w:rFonts w:ascii="Century Gothic" w:hAnsi="Century Gothic"/>
          <w:lang w:val="es-MX"/>
        </w:rPr>
        <w:t>condicionadas o</w:t>
      </w:r>
      <w:r w:rsidR="00562355" w:rsidRPr="0050035B">
        <w:rPr>
          <w:rFonts w:ascii="Century Gothic" w:hAnsi="Century Gothic"/>
          <w:lang w:val="es-MX"/>
        </w:rPr>
        <w:t xml:space="preserve"> no condicionadas, </w:t>
      </w:r>
      <w:r w:rsidRPr="0050035B">
        <w:rPr>
          <w:rFonts w:ascii="Century Gothic" w:hAnsi="Century Gothic"/>
          <w:lang w:val="es-MX"/>
        </w:rPr>
        <w:t>en función del grado de discrecionalidad con que pueden ser utilizadas.</w:t>
      </w:r>
      <w:r w:rsidR="001424D7" w:rsidRPr="0050035B">
        <w:rPr>
          <w:rFonts w:ascii="Century Gothic" w:hAnsi="Century Gothic"/>
          <w:lang w:val="es-MX"/>
        </w:rPr>
        <w:t xml:space="preserve"> De manera que la</w:t>
      </w:r>
      <w:r w:rsidRPr="0050035B">
        <w:rPr>
          <w:rFonts w:ascii="Century Gothic" w:hAnsi="Century Gothic"/>
          <w:lang w:val="es-MX"/>
        </w:rPr>
        <w:t xml:space="preserve">s </w:t>
      </w:r>
      <w:r w:rsidR="00AF635F" w:rsidRPr="0050035B">
        <w:rPr>
          <w:rFonts w:ascii="Century Gothic" w:hAnsi="Century Gothic"/>
          <w:lang w:val="es-MX"/>
        </w:rPr>
        <w:t>“</w:t>
      </w:r>
      <w:r w:rsidR="00AF635F" w:rsidRPr="00487781">
        <w:rPr>
          <w:rFonts w:ascii="Century Gothic" w:hAnsi="Century Gothic"/>
          <w:b/>
          <w:u w:val="single"/>
          <w:lang w:val="es-MX"/>
        </w:rPr>
        <w:t>P</w:t>
      </w:r>
      <w:r w:rsidRPr="00487781">
        <w:rPr>
          <w:rFonts w:ascii="Century Gothic" w:hAnsi="Century Gothic"/>
          <w:b/>
          <w:u w:val="single"/>
          <w:lang w:val="es-MX"/>
        </w:rPr>
        <w:t>articipaciones</w:t>
      </w:r>
      <w:r w:rsidR="00AF635F" w:rsidRPr="0050035B">
        <w:rPr>
          <w:rFonts w:ascii="Century Gothic" w:hAnsi="Century Gothic"/>
          <w:lang w:val="es-MX"/>
        </w:rPr>
        <w:t>”</w:t>
      </w:r>
      <w:r w:rsidR="00BD3802" w:rsidRPr="0050035B">
        <w:rPr>
          <w:rFonts w:ascii="Century Gothic" w:hAnsi="Century Gothic"/>
          <w:lang w:val="es-MX"/>
        </w:rPr>
        <w:t xml:space="preserve"> federales</w:t>
      </w:r>
      <w:r w:rsidR="00501638" w:rsidRPr="0050035B">
        <w:rPr>
          <w:rFonts w:ascii="Century Gothic" w:hAnsi="Century Gothic"/>
          <w:lang w:val="es-MX"/>
        </w:rPr>
        <w:t xml:space="preserve"> </w:t>
      </w:r>
      <w:r w:rsidR="00325980" w:rsidRPr="0050035B">
        <w:rPr>
          <w:rFonts w:ascii="Century Gothic" w:hAnsi="Century Gothic"/>
          <w:lang w:val="es-MX"/>
        </w:rPr>
        <w:t xml:space="preserve">son </w:t>
      </w:r>
      <w:r w:rsidR="00501638" w:rsidRPr="0050035B">
        <w:rPr>
          <w:rFonts w:ascii="Century Gothic" w:hAnsi="Century Gothic"/>
          <w:lang w:val="es-MX"/>
        </w:rPr>
        <w:t>transferencias</w:t>
      </w:r>
      <w:r w:rsidR="00BD3802" w:rsidRPr="0050035B">
        <w:rPr>
          <w:rFonts w:ascii="Century Gothic" w:hAnsi="Century Gothic"/>
          <w:lang w:val="es-MX"/>
        </w:rPr>
        <w:t xml:space="preserve"> intergubernamentales </w:t>
      </w:r>
      <w:r w:rsidR="00562355" w:rsidRPr="0050035B">
        <w:rPr>
          <w:rFonts w:ascii="Century Gothic" w:hAnsi="Century Gothic"/>
          <w:lang w:val="es-MX"/>
        </w:rPr>
        <w:t xml:space="preserve">no </w:t>
      </w:r>
      <w:r w:rsidR="00B57D9C" w:rsidRPr="0050035B">
        <w:rPr>
          <w:rFonts w:ascii="Century Gothic" w:hAnsi="Century Gothic"/>
          <w:lang w:val="es-MX"/>
        </w:rPr>
        <w:t>condicionadas</w:t>
      </w:r>
      <w:r w:rsidR="00B115B4" w:rsidRPr="0050035B">
        <w:rPr>
          <w:rFonts w:ascii="Century Gothic" w:hAnsi="Century Gothic"/>
          <w:lang w:val="es-MX"/>
        </w:rPr>
        <w:t xml:space="preserve"> y las </w:t>
      </w:r>
      <w:r w:rsidR="00C316D5" w:rsidRPr="0050035B">
        <w:rPr>
          <w:rFonts w:ascii="Century Gothic" w:hAnsi="Century Gothic"/>
          <w:lang w:val="es-MX"/>
        </w:rPr>
        <w:t>“</w:t>
      </w:r>
      <w:r w:rsidR="005A56D3" w:rsidRPr="00487781">
        <w:rPr>
          <w:rFonts w:ascii="Century Gothic" w:hAnsi="Century Gothic"/>
          <w:b/>
          <w:u w:val="single"/>
          <w:lang w:val="es-MX"/>
        </w:rPr>
        <w:t>Aportaciones</w:t>
      </w:r>
      <w:r w:rsidR="00C316D5" w:rsidRPr="0050035B">
        <w:rPr>
          <w:rFonts w:ascii="Century Gothic" w:hAnsi="Century Gothic"/>
          <w:lang w:val="es-MX"/>
        </w:rPr>
        <w:t>”</w:t>
      </w:r>
      <w:r w:rsidR="005A56D3" w:rsidRPr="0050035B">
        <w:rPr>
          <w:rFonts w:ascii="Century Gothic" w:hAnsi="Century Gothic"/>
          <w:lang w:val="es-MX"/>
        </w:rPr>
        <w:t xml:space="preserve"> son</w:t>
      </w:r>
      <w:r w:rsidR="00B115B4" w:rsidRPr="0050035B">
        <w:rPr>
          <w:rFonts w:ascii="Century Gothic" w:hAnsi="Century Gothic"/>
          <w:lang w:val="es-MX"/>
        </w:rPr>
        <w:t xml:space="preserve"> recursos de carácter condicionado.</w:t>
      </w:r>
    </w:p>
    <w:p w:rsidR="00BD3802" w:rsidRPr="009412BE" w:rsidRDefault="00BD3802" w:rsidP="00696541">
      <w:pPr>
        <w:spacing w:line="360" w:lineRule="auto"/>
        <w:jc w:val="both"/>
        <w:rPr>
          <w:rFonts w:ascii="Century Gothic" w:hAnsi="Century Gothic"/>
          <w:sz w:val="20"/>
          <w:lang w:val="es-MX"/>
        </w:rPr>
      </w:pPr>
    </w:p>
    <w:p w:rsidR="00673633" w:rsidRPr="0050035B" w:rsidRDefault="00D87DE0" w:rsidP="00D87DE0">
      <w:pPr>
        <w:spacing w:line="360" w:lineRule="auto"/>
        <w:ind w:firstLine="720"/>
        <w:jc w:val="both"/>
        <w:rPr>
          <w:rFonts w:ascii="Century Gothic" w:hAnsi="Century Gothic"/>
          <w:lang w:val="es-MX"/>
        </w:rPr>
      </w:pPr>
      <w:r w:rsidRPr="0050035B">
        <w:rPr>
          <w:rFonts w:ascii="Century Gothic" w:hAnsi="Century Gothic"/>
          <w:lang w:val="es-MX"/>
        </w:rPr>
        <w:lastRenderedPageBreak/>
        <w:t>Para el ejercicio fiscal 20</w:t>
      </w:r>
      <w:r w:rsidR="00C63E62" w:rsidRPr="0050035B">
        <w:rPr>
          <w:rFonts w:ascii="Century Gothic" w:hAnsi="Century Gothic"/>
          <w:lang w:val="es-MX"/>
        </w:rPr>
        <w:t>2</w:t>
      </w:r>
      <w:r w:rsidR="00CB764A">
        <w:rPr>
          <w:rFonts w:ascii="Century Gothic" w:hAnsi="Century Gothic"/>
          <w:lang w:val="es-MX"/>
        </w:rPr>
        <w:t>2</w:t>
      </w:r>
      <w:r w:rsidR="00772050" w:rsidRPr="0050035B">
        <w:rPr>
          <w:rFonts w:ascii="Century Gothic" w:hAnsi="Century Gothic"/>
          <w:lang w:val="es-MX"/>
        </w:rPr>
        <w:t xml:space="preserve"> considerando los indicadores macroecon</w:t>
      </w:r>
      <w:r w:rsidR="00780863" w:rsidRPr="0050035B">
        <w:rPr>
          <w:rFonts w:ascii="Century Gothic" w:hAnsi="Century Gothic"/>
          <w:lang w:val="es-MX"/>
        </w:rPr>
        <w:t>ómicos, el Paquete Fiscal del Gobierno Federal para el ejercicio fiscal 202</w:t>
      </w:r>
      <w:r w:rsidR="00CB764A">
        <w:rPr>
          <w:rFonts w:ascii="Century Gothic" w:hAnsi="Century Gothic"/>
          <w:lang w:val="es-MX"/>
        </w:rPr>
        <w:t>2</w:t>
      </w:r>
      <w:r w:rsidR="00780863" w:rsidRPr="0050035B">
        <w:rPr>
          <w:rFonts w:ascii="Century Gothic" w:hAnsi="Century Gothic"/>
          <w:lang w:val="es-MX"/>
        </w:rPr>
        <w:t xml:space="preserve">, particularmente lo señalado en los </w:t>
      </w:r>
      <w:r w:rsidR="00CB764A">
        <w:rPr>
          <w:rFonts w:ascii="Century Gothic" w:hAnsi="Century Gothic"/>
          <w:lang w:val="es-MX"/>
        </w:rPr>
        <w:t xml:space="preserve">CGPE </w:t>
      </w:r>
      <w:r w:rsidR="00780863" w:rsidRPr="0050035B">
        <w:rPr>
          <w:rFonts w:ascii="Century Gothic" w:hAnsi="Century Gothic"/>
          <w:lang w:val="es-MX"/>
        </w:rPr>
        <w:t>202</w:t>
      </w:r>
      <w:r w:rsidR="00CB764A">
        <w:rPr>
          <w:rFonts w:ascii="Century Gothic" w:hAnsi="Century Gothic"/>
          <w:lang w:val="es-MX"/>
        </w:rPr>
        <w:t>2</w:t>
      </w:r>
      <w:r w:rsidR="00780863" w:rsidRPr="0050035B">
        <w:rPr>
          <w:rFonts w:ascii="Century Gothic" w:hAnsi="Century Gothic"/>
          <w:lang w:val="es-MX"/>
        </w:rPr>
        <w:t xml:space="preserve">, </w:t>
      </w:r>
      <w:r w:rsidR="00772050" w:rsidRPr="0050035B">
        <w:rPr>
          <w:rFonts w:ascii="Century Gothic" w:hAnsi="Century Gothic"/>
          <w:lang w:val="es-MX"/>
        </w:rPr>
        <w:t xml:space="preserve"> y el entorno económico</w:t>
      </w:r>
      <w:r w:rsidR="003A6064" w:rsidRPr="0050035B">
        <w:rPr>
          <w:rFonts w:ascii="Century Gothic" w:hAnsi="Century Gothic"/>
          <w:lang w:val="es-MX"/>
        </w:rPr>
        <w:t xml:space="preserve"> </w:t>
      </w:r>
      <w:r w:rsidR="00772050" w:rsidRPr="0050035B">
        <w:rPr>
          <w:rFonts w:ascii="Century Gothic" w:hAnsi="Century Gothic"/>
          <w:lang w:val="es-MX"/>
        </w:rPr>
        <w:t>nacional e internacional</w:t>
      </w:r>
      <w:r w:rsidRPr="0050035B">
        <w:rPr>
          <w:rFonts w:ascii="Century Gothic" w:hAnsi="Century Gothic"/>
          <w:lang w:val="es-MX"/>
        </w:rPr>
        <w:t xml:space="preserve">, en el Municipio de Monterrey se estima recibir ingresos por el rubro de </w:t>
      </w:r>
      <w:r w:rsidRPr="0050035B">
        <w:rPr>
          <w:rFonts w:ascii="Century Gothic" w:hAnsi="Century Gothic"/>
          <w:b/>
          <w:u w:val="single"/>
          <w:lang w:val="es-MX"/>
        </w:rPr>
        <w:t>Participaciones</w:t>
      </w:r>
      <w:r w:rsidRPr="0050035B">
        <w:rPr>
          <w:rFonts w:ascii="Century Gothic" w:hAnsi="Century Gothic"/>
          <w:lang w:val="es-MX"/>
        </w:rPr>
        <w:t xml:space="preserve"> </w:t>
      </w:r>
      <w:r w:rsidR="00B115B4" w:rsidRPr="0050035B">
        <w:rPr>
          <w:rFonts w:ascii="Century Gothic" w:hAnsi="Century Gothic"/>
          <w:lang w:val="es-MX"/>
        </w:rPr>
        <w:t>por</w:t>
      </w:r>
      <w:r w:rsidRPr="0050035B">
        <w:rPr>
          <w:rFonts w:ascii="Century Gothic" w:hAnsi="Century Gothic"/>
          <w:lang w:val="es-MX"/>
        </w:rPr>
        <w:t xml:space="preserve"> la cantidad de </w:t>
      </w:r>
      <w:r w:rsidR="00CB764A" w:rsidRPr="00487781">
        <w:rPr>
          <w:rFonts w:ascii="Century Gothic" w:hAnsi="Century Gothic"/>
          <w:b/>
          <w:lang w:val="es-MX"/>
        </w:rPr>
        <w:t xml:space="preserve">$2,622,931,385.48 </w:t>
      </w:r>
      <w:r w:rsidR="006F04FE" w:rsidRPr="00487781">
        <w:rPr>
          <w:rFonts w:ascii="Century Gothic" w:hAnsi="Century Gothic"/>
          <w:b/>
          <w:lang w:val="es-MX"/>
        </w:rPr>
        <w:t>(</w:t>
      </w:r>
      <w:r w:rsidR="00CB764A" w:rsidRPr="00487781">
        <w:rPr>
          <w:rFonts w:ascii="Century Gothic" w:hAnsi="Century Gothic"/>
          <w:b/>
          <w:lang w:val="es-MX"/>
        </w:rPr>
        <w:t>Dos</w:t>
      </w:r>
      <w:r w:rsidR="00CB764A">
        <w:rPr>
          <w:rFonts w:ascii="Century Gothic" w:hAnsi="Century Gothic"/>
          <w:b/>
          <w:lang w:val="es-MX"/>
        </w:rPr>
        <w:t xml:space="preserve"> mil seiscientos veintidós millones novecientos treinta y un mil trescientos ochenta y cinco</w:t>
      </w:r>
      <w:r w:rsidR="0007623F" w:rsidRPr="0050035B">
        <w:rPr>
          <w:rFonts w:ascii="Century Gothic" w:hAnsi="Century Gothic"/>
          <w:b/>
          <w:lang w:val="es-MX"/>
        </w:rPr>
        <w:t xml:space="preserve"> pesos </w:t>
      </w:r>
      <w:r w:rsidR="00CB764A">
        <w:rPr>
          <w:rFonts w:ascii="Century Gothic" w:hAnsi="Century Gothic"/>
          <w:b/>
          <w:lang w:val="es-MX"/>
        </w:rPr>
        <w:t>48</w:t>
      </w:r>
      <w:r w:rsidR="006F04FE" w:rsidRPr="0050035B">
        <w:rPr>
          <w:rFonts w:ascii="Century Gothic" w:hAnsi="Century Gothic"/>
          <w:b/>
          <w:lang w:val="es-MX"/>
        </w:rPr>
        <w:t>/100 Moneda Nacional)</w:t>
      </w:r>
      <w:r w:rsidR="00042B30" w:rsidRPr="0050035B">
        <w:rPr>
          <w:rFonts w:ascii="Century Gothic" w:hAnsi="Century Gothic"/>
          <w:b/>
          <w:lang w:val="es-MX"/>
        </w:rPr>
        <w:t xml:space="preserve"> </w:t>
      </w:r>
      <w:r w:rsidR="003D3DD4" w:rsidRPr="0050035B">
        <w:rPr>
          <w:rFonts w:ascii="Century Gothic" w:hAnsi="Century Gothic"/>
          <w:lang w:val="es-MX"/>
        </w:rPr>
        <w:t>e</w:t>
      </w:r>
      <w:r w:rsidR="00042B30" w:rsidRPr="0050035B">
        <w:rPr>
          <w:rFonts w:ascii="Century Gothic" w:hAnsi="Century Gothic"/>
          <w:lang w:val="es-MX"/>
        </w:rPr>
        <w:t xml:space="preserve">stimación que representa </w:t>
      </w:r>
      <w:r w:rsidR="009E6C4F" w:rsidRPr="0050035B">
        <w:rPr>
          <w:rFonts w:ascii="Century Gothic" w:hAnsi="Century Gothic"/>
          <w:lang w:val="es-MX"/>
        </w:rPr>
        <w:t xml:space="preserve">un </w:t>
      </w:r>
      <w:r w:rsidR="00CB764A">
        <w:rPr>
          <w:rFonts w:ascii="Century Gothic" w:hAnsi="Century Gothic"/>
          <w:lang w:val="es-MX"/>
        </w:rPr>
        <w:t>incremento del 5.67</w:t>
      </w:r>
      <w:r w:rsidR="00683907" w:rsidRPr="0050035B">
        <w:rPr>
          <w:rFonts w:ascii="Century Gothic" w:hAnsi="Century Gothic"/>
          <w:lang w:val="es-MX"/>
        </w:rPr>
        <w:t>%</w:t>
      </w:r>
      <w:r w:rsidR="00416083" w:rsidRPr="0050035B">
        <w:rPr>
          <w:rFonts w:ascii="Century Gothic" w:hAnsi="Century Gothic"/>
          <w:lang w:val="es-MX"/>
        </w:rPr>
        <w:t xml:space="preserve"> </w:t>
      </w:r>
      <w:r w:rsidR="00CB764A">
        <w:rPr>
          <w:rFonts w:ascii="Century Gothic" w:hAnsi="Century Gothic"/>
          <w:lang w:val="es-MX"/>
        </w:rPr>
        <w:t xml:space="preserve">en relación </w:t>
      </w:r>
      <w:r w:rsidR="00042B30" w:rsidRPr="0050035B">
        <w:rPr>
          <w:rFonts w:ascii="Century Gothic" w:hAnsi="Century Gothic"/>
          <w:lang w:val="es-MX"/>
        </w:rPr>
        <w:t>al año 20</w:t>
      </w:r>
      <w:r w:rsidR="00846DE2" w:rsidRPr="0050035B">
        <w:rPr>
          <w:rFonts w:ascii="Century Gothic" w:hAnsi="Century Gothic"/>
          <w:lang w:val="es-MX"/>
        </w:rPr>
        <w:t>2</w:t>
      </w:r>
      <w:r w:rsidR="00CB764A">
        <w:rPr>
          <w:rFonts w:ascii="Century Gothic" w:hAnsi="Century Gothic"/>
          <w:lang w:val="es-MX"/>
        </w:rPr>
        <w:t>1</w:t>
      </w:r>
      <w:r w:rsidR="00673633" w:rsidRPr="0050035B">
        <w:rPr>
          <w:rFonts w:ascii="Century Gothic" w:hAnsi="Century Gothic"/>
          <w:lang w:val="es-MX"/>
        </w:rPr>
        <w:t xml:space="preserve">. </w:t>
      </w:r>
    </w:p>
    <w:p w:rsidR="00673633" w:rsidRPr="009412BE" w:rsidRDefault="00673633" w:rsidP="00D87DE0">
      <w:pPr>
        <w:spacing w:line="360" w:lineRule="auto"/>
        <w:ind w:firstLine="720"/>
        <w:jc w:val="both"/>
        <w:rPr>
          <w:rFonts w:ascii="Century Gothic" w:hAnsi="Century Gothic"/>
          <w:sz w:val="20"/>
          <w:lang w:val="es-MX"/>
        </w:rPr>
      </w:pPr>
    </w:p>
    <w:p w:rsidR="003D3DD4" w:rsidRPr="0050035B" w:rsidRDefault="00673633" w:rsidP="00D87DE0">
      <w:pPr>
        <w:spacing w:line="360" w:lineRule="auto"/>
        <w:ind w:firstLine="720"/>
        <w:jc w:val="both"/>
        <w:rPr>
          <w:rFonts w:ascii="Century Gothic" w:hAnsi="Century Gothic"/>
          <w:lang w:val="es-MX"/>
        </w:rPr>
      </w:pPr>
      <w:r w:rsidRPr="0050035B">
        <w:rPr>
          <w:rFonts w:ascii="Century Gothic" w:hAnsi="Century Gothic"/>
          <w:lang w:val="es-MX"/>
        </w:rPr>
        <w:t xml:space="preserve">Este </w:t>
      </w:r>
      <w:r w:rsidR="001D57B4" w:rsidRPr="0050035B">
        <w:rPr>
          <w:rFonts w:ascii="Century Gothic" w:hAnsi="Century Gothic"/>
          <w:lang w:val="es-MX"/>
        </w:rPr>
        <w:t>crecimiento</w:t>
      </w:r>
      <w:r w:rsidRPr="0050035B">
        <w:rPr>
          <w:rFonts w:ascii="Century Gothic" w:hAnsi="Century Gothic"/>
          <w:lang w:val="es-MX"/>
        </w:rPr>
        <w:t xml:space="preserve"> se suscita por la variación presentada entre el presupuesto</w:t>
      </w:r>
      <w:r w:rsidR="001D57B4" w:rsidRPr="0050035B">
        <w:rPr>
          <w:rFonts w:ascii="Century Gothic" w:hAnsi="Century Gothic"/>
          <w:lang w:val="es-MX"/>
        </w:rPr>
        <w:t xml:space="preserve"> aprobado para el Ejercicio 20</w:t>
      </w:r>
      <w:r w:rsidR="00846DE2" w:rsidRPr="0050035B">
        <w:rPr>
          <w:rFonts w:ascii="Century Gothic" w:hAnsi="Century Gothic"/>
          <w:lang w:val="es-MX"/>
        </w:rPr>
        <w:t>2</w:t>
      </w:r>
      <w:r w:rsidR="00CB764A">
        <w:rPr>
          <w:rFonts w:ascii="Century Gothic" w:hAnsi="Century Gothic"/>
          <w:lang w:val="es-MX"/>
        </w:rPr>
        <w:t>1</w:t>
      </w:r>
      <w:r w:rsidRPr="0050035B">
        <w:rPr>
          <w:rFonts w:ascii="Century Gothic" w:hAnsi="Century Gothic"/>
          <w:lang w:val="es-MX"/>
        </w:rPr>
        <w:t xml:space="preserve"> y lo recaudado al tercer trimestre de este Ejercicio F</w:t>
      </w:r>
      <w:r w:rsidR="00762946" w:rsidRPr="0050035B">
        <w:rPr>
          <w:rFonts w:ascii="Century Gothic" w:hAnsi="Century Gothic"/>
          <w:lang w:val="es-MX"/>
        </w:rPr>
        <w:t>iscal</w:t>
      </w:r>
      <w:r w:rsidR="00CB764A">
        <w:rPr>
          <w:rFonts w:ascii="Century Gothic" w:hAnsi="Century Gothic"/>
          <w:lang w:val="es-MX"/>
        </w:rPr>
        <w:t>, considerando además las proyecciones vertidas en Paquete Fiscal Federal</w:t>
      </w:r>
      <w:r w:rsidR="00762946" w:rsidRPr="0050035B">
        <w:rPr>
          <w:rFonts w:ascii="Century Gothic" w:hAnsi="Century Gothic"/>
          <w:lang w:val="es-MX"/>
        </w:rPr>
        <w:t xml:space="preserve">, dando como resultado un </w:t>
      </w:r>
      <w:r w:rsidR="00CB764A">
        <w:rPr>
          <w:rFonts w:ascii="Century Gothic" w:hAnsi="Century Gothic"/>
          <w:lang w:val="es-MX"/>
        </w:rPr>
        <w:t>incremento</w:t>
      </w:r>
      <w:r w:rsidR="00762946" w:rsidRPr="0050035B">
        <w:rPr>
          <w:rFonts w:ascii="Century Gothic" w:hAnsi="Century Gothic"/>
          <w:lang w:val="es-MX"/>
        </w:rPr>
        <w:t xml:space="preserve"> </w:t>
      </w:r>
      <w:r w:rsidRPr="0050035B">
        <w:rPr>
          <w:rFonts w:ascii="Century Gothic" w:hAnsi="Century Gothic"/>
          <w:lang w:val="es-MX"/>
        </w:rPr>
        <w:t>en la proyección realizada que se ajusta al ingreso real.</w:t>
      </w:r>
    </w:p>
    <w:p w:rsidR="003D3DD4" w:rsidRPr="009412BE" w:rsidRDefault="003D3DD4" w:rsidP="00D87DE0">
      <w:pPr>
        <w:spacing w:line="360" w:lineRule="auto"/>
        <w:ind w:firstLine="720"/>
        <w:jc w:val="both"/>
        <w:rPr>
          <w:rFonts w:ascii="Century Gothic" w:hAnsi="Century Gothic"/>
          <w:sz w:val="20"/>
          <w:lang w:val="es-MX"/>
        </w:rPr>
      </w:pPr>
    </w:p>
    <w:p w:rsidR="003D3DD4" w:rsidRDefault="00D87DE0" w:rsidP="00D87DE0">
      <w:pPr>
        <w:spacing w:line="360" w:lineRule="auto"/>
        <w:ind w:firstLine="720"/>
        <w:jc w:val="both"/>
        <w:rPr>
          <w:rFonts w:ascii="Century Gothic" w:eastAsia="Times New Roman" w:hAnsi="Century Gothic" w:cs="Arial"/>
          <w:color w:val="000000"/>
          <w:lang w:val="es-MX"/>
        </w:rPr>
      </w:pPr>
      <w:r w:rsidRPr="0050035B">
        <w:rPr>
          <w:rFonts w:ascii="Century Gothic" w:hAnsi="Century Gothic"/>
          <w:lang w:val="es-MX"/>
        </w:rPr>
        <w:t xml:space="preserve">Por su parte, en lo que respecta al rubro de </w:t>
      </w:r>
      <w:r w:rsidRPr="0050035B">
        <w:rPr>
          <w:rFonts w:ascii="Century Gothic" w:hAnsi="Century Gothic"/>
          <w:b/>
          <w:u w:val="single"/>
          <w:lang w:val="es-MX"/>
        </w:rPr>
        <w:t>Aportaciones</w:t>
      </w:r>
      <w:r w:rsidRPr="0050035B">
        <w:rPr>
          <w:rFonts w:ascii="Century Gothic" w:hAnsi="Century Gothic"/>
          <w:lang w:val="es-MX"/>
        </w:rPr>
        <w:t xml:space="preserve"> se espera recibir ingresos que asciendan </w:t>
      </w:r>
      <w:r w:rsidR="00EA197E" w:rsidRPr="0050035B">
        <w:rPr>
          <w:rFonts w:ascii="Century Gothic" w:hAnsi="Century Gothic"/>
          <w:lang w:val="es-MX"/>
        </w:rPr>
        <w:t>a un</w:t>
      </w:r>
      <w:r w:rsidRPr="0050035B">
        <w:rPr>
          <w:rFonts w:ascii="Century Gothic" w:hAnsi="Century Gothic"/>
          <w:lang w:val="es-MX"/>
        </w:rPr>
        <w:t xml:space="preserve"> mon</w:t>
      </w:r>
      <w:r w:rsidRPr="00487781">
        <w:rPr>
          <w:rFonts w:ascii="Century Gothic" w:hAnsi="Century Gothic"/>
          <w:lang w:val="es-MX"/>
        </w:rPr>
        <w:t xml:space="preserve">to de </w:t>
      </w:r>
      <w:r w:rsidR="00CB764A" w:rsidRPr="00487781">
        <w:rPr>
          <w:rFonts w:ascii="Century Gothic" w:hAnsi="Century Gothic"/>
          <w:b/>
          <w:lang w:val="es-MX"/>
        </w:rPr>
        <w:t xml:space="preserve">$871,492,539.91 </w:t>
      </w:r>
      <w:r w:rsidR="006F04FE" w:rsidRPr="00487781">
        <w:rPr>
          <w:rFonts w:ascii="Century Gothic" w:eastAsia="Times New Roman" w:hAnsi="Century Gothic" w:cs="Arial"/>
          <w:color w:val="000000"/>
          <w:lang w:val="es-MX"/>
        </w:rPr>
        <w:t>(</w:t>
      </w:r>
      <w:r w:rsidR="00CB764A" w:rsidRPr="00487781">
        <w:rPr>
          <w:rFonts w:ascii="Century Gothic" w:eastAsia="Times New Roman" w:hAnsi="Century Gothic" w:cs="Arial"/>
          <w:b/>
          <w:color w:val="000000"/>
          <w:lang w:val="es-MX"/>
        </w:rPr>
        <w:t xml:space="preserve">Ochocientos </w:t>
      </w:r>
      <w:r w:rsidR="00CB764A">
        <w:rPr>
          <w:rFonts w:ascii="Century Gothic" w:eastAsia="Times New Roman" w:hAnsi="Century Gothic" w:cs="Arial"/>
          <w:b/>
          <w:color w:val="000000"/>
          <w:lang w:val="es-MX"/>
        </w:rPr>
        <w:t>setenta y un millones cuatrocientos noventa y dos mil quinientos treinta y nueve</w:t>
      </w:r>
      <w:r w:rsidR="00B44FCD" w:rsidRPr="0050035B">
        <w:rPr>
          <w:rFonts w:ascii="Century Gothic" w:eastAsia="Times New Roman" w:hAnsi="Century Gothic" w:cs="Arial"/>
          <w:b/>
          <w:color w:val="000000"/>
          <w:lang w:val="es-MX"/>
        </w:rPr>
        <w:t xml:space="preserve"> </w:t>
      </w:r>
      <w:r w:rsidR="006F04FE" w:rsidRPr="0050035B">
        <w:rPr>
          <w:rFonts w:ascii="Century Gothic" w:eastAsia="Times New Roman" w:hAnsi="Century Gothic" w:cs="Arial"/>
          <w:b/>
          <w:color w:val="000000"/>
          <w:lang w:val="es-MX"/>
        </w:rPr>
        <w:t xml:space="preserve">pesos </w:t>
      </w:r>
      <w:r w:rsidR="00CB764A">
        <w:rPr>
          <w:rFonts w:ascii="Century Gothic" w:eastAsia="Times New Roman" w:hAnsi="Century Gothic" w:cs="Arial"/>
          <w:b/>
          <w:color w:val="000000"/>
          <w:lang w:val="es-MX"/>
        </w:rPr>
        <w:t>91</w:t>
      </w:r>
      <w:r w:rsidR="006F04FE" w:rsidRPr="0050035B">
        <w:rPr>
          <w:rFonts w:ascii="Century Gothic" w:eastAsia="Times New Roman" w:hAnsi="Century Gothic" w:cs="Arial"/>
          <w:b/>
          <w:color w:val="000000"/>
          <w:lang w:val="es-MX"/>
        </w:rPr>
        <w:t xml:space="preserve">/100 Moneda </w:t>
      </w:r>
      <w:r w:rsidR="00FE252D" w:rsidRPr="0050035B">
        <w:rPr>
          <w:rFonts w:ascii="Century Gothic" w:eastAsia="Times New Roman" w:hAnsi="Century Gothic" w:cs="Arial"/>
          <w:b/>
          <w:color w:val="000000"/>
          <w:lang w:val="es-MX"/>
        </w:rPr>
        <w:t xml:space="preserve">Nacional) </w:t>
      </w:r>
      <w:r w:rsidR="00FE252D" w:rsidRPr="0050035B">
        <w:rPr>
          <w:rFonts w:ascii="Century Gothic" w:eastAsia="Times New Roman" w:hAnsi="Century Gothic" w:cs="Arial"/>
          <w:color w:val="000000"/>
          <w:lang w:val="es-MX"/>
        </w:rPr>
        <w:t>cifra</w:t>
      </w:r>
      <w:r w:rsidR="00772050" w:rsidRPr="0050035B">
        <w:rPr>
          <w:rFonts w:ascii="Century Gothic" w:eastAsia="Times New Roman" w:hAnsi="Century Gothic" w:cs="Arial"/>
          <w:color w:val="000000"/>
          <w:lang w:val="es-MX"/>
        </w:rPr>
        <w:t xml:space="preserve"> que representa un </w:t>
      </w:r>
      <w:r w:rsidR="00CB764A">
        <w:rPr>
          <w:rFonts w:ascii="Century Gothic" w:eastAsia="Times New Roman" w:hAnsi="Century Gothic" w:cs="Arial"/>
          <w:color w:val="000000"/>
          <w:lang w:val="es-MX"/>
        </w:rPr>
        <w:t>decremento</w:t>
      </w:r>
      <w:r w:rsidR="00772050" w:rsidRPr="0050035B">
        <w:rPr>
          <w:rFonts w:ascii="Century Gothic" w:eastAsia="Times New Roman" w:hAnsi="Century Gothic" w:cs="Arial"/>
          <w:color w:val="000000"/>
          <w:lang w:val="es-MX"/>
        </w:rPr>
        <w:t xml:space="preserve"> </w:t>
      </w:r>
      <w:r w:rsidR="00FE252D" w:rsidRPr="0050035B">
        <w:rPr>
          <w:rFonts w:ascii="Century Gothic" w:eastAsia="Times New Roman" w:hAnsi="Century Gothic" w:cs="Arial"/>
          <w:color w:val="000000"/>
          <w:lang w:val="es-MX"/>
        </w:rPr>
        <w:t>en</w:t>
      </w:r>
      <w:r w:rsidR="006F04FE" w:rsidRPr="0050035B">
        <w:rPr>
          <w:rFonts w:ascii="Century Gothic" w:eastAsia="Times New Roman" w:hAnsi="Century Gothic" w:cs="Arial"/>
          <w:color w:val="000000"/>
          <w:lang w:val="es-MX"/>
        </w:rPr>
        <w:t xml:space="preserve"> </w:t>
      </w:r>
      <w:r w:rsidR="006E4F2B">
        <w:rPr>
          <w:rFonts w:ascii="Century Gothic" w:eastAsia="Times New Roman" w:hAnsi="Century Gothic" w:cs="Arial"/>
          <w:color w:val="000000"/>
          <w:lang w:val="es-MX"/>
        </w:rPr>
        <w:t>8.10</w:t>
      </w:r>
      <w:r w:rsidR="001078FF" w:rsidRPr="0050035B">
        <w:rPr>
          <w:rFonts w:ascii="Century Gothic" w:eastAsia="Times New Roman" w:hAnsi="Century Gothic" w:cs="Arial"/>
          <w:color w:val="000000"/>
          <w:lang w:val="es-MX"/>
        </w:rPr>
        <w:t xml:space="preserve">% </w:t>
      </w:r>
      <w:r w:rsidR="001D57B4" w:rsidRPr="0050035B">
        <w:rPr>
          <w:rFonts w:ascii="Century Gothic" w:eastAsia="Times New Roman" w:hAnsi="Century Gothic" w:cs="Arial"/>
          <w:color w:val="000000"/>
          <w:lang w:val="es-MX"/>
        </w:rPr>
        <w:t>respecto al año 20</w:t>
      </w:r>
      <w:r w:rsidR="00846DE2" w:rsidRPr="0050035B">
        <w:rPr>
          <w:rFonts w:ascii="Century Gothic" w:eastAsia="Times New Roman" w:hAnsi="Century Gothic" w:cs="Arial"/>
          <w:color w:val="000000"/>
          <w:lang w:val="es-MX"/>
        </w:rPr>
        <w:t>2</w:t>
      </w:r>
      <w:r w:rsidR="00CB764A">
        <w:rPr>
          <w:rFonts w:ascii="Century Gothic" w:eastAsia="Times New Roman" w:hAnsi="Century Gothic" w:cs="Arial"/>
          <w:color w:val="000000"/>
          <w:lang w:val="es-MX"/>
        </w:rPr>
        <w:t>1</w:t>
      </w:r>
      <w:r w:rsidR="00FE252D" w:rsidRPr="0050035B">
        <w:rPr>
          <w:rFonts w:ascii="Century Gothic" w:eastAsia="Times New Roman" w:hAnsi="Century Gothic" w:cs="Arial"/>
          <w:color w:val="000000"/>
          <w:lang w:val="es-MX"/>
        </w:rPr>
        <w:t>.</w:t>
      </w:r>
      <w:r w:rsidR="006F04FE" w:rsidRPr="0050035B">
        <w:rPr>
          <w:rFonts w:ascii="Century Gothic" w:eastAsia="Times New Roman" w:hAnsi="Century Gothic" w:cs="Arial"/>
          <w:color w:val="000000"/>
          <w:lang w:val="es-MX"/>
        </w:rPr>
        <w:t xml:space="preserve"> </w:t>
      </w:r>
    </w:p>
    <w:p w:rsidR="00CB764A" w:rsidRPr="009412BE" w:rsidRDefault="00CB764A" w:rsidP="00D87DE0">
      <w:pPr>
        <w:spacing w:line="360" w:lineRule="auto"/>
        <w:ind w:firstLine="720"/>
        <w:jc w:val="both"/>
        <w:rPr>
          <w:rFonts w:ascii="Century Gothic" w:eastAsia="Times New Roman" w:hAnsi="Century Gothic" w:cs="Arial"/>
          <w:color w:val="000000"/>
          <w:sz w:val="20"/>
          <w:lang w:val="es-MX"/>
        </w:rPr>
      </w:pPr>
    </w:p>
    <w:p w:rsidR="009412BE" w:rsidRDefault="00CB764A" w:rsidP="009412BE">
      <w:pPr>
        <w:spacing w:line="360" w:lineRule="auto"/>
        <w:ind w:firstLine="720"/>
        <w:jc w:val="both"/>
        <w:rPr>
          <w:rFonts w:ascii="Century Gothic" w:eastAsia="Times New Roman" w:hAnsi="Century Gothic" w:cs="Arial"/>
          <w:color w:val="000000"/>
          <w:lang w:val="es-MX"/>
        </w:rPr>
      </w:pPr>
      <w:r>
        <w:rPr>
          <w:rFonts w:ascii="Century Gothic" w:eastAsia="Times New Roman" w:hAnsi="Century Gothic" w:cs="Arial"/>
          <w:color w:val="000000"/>
          <w:lang w:val="es-MX"/>
        </w:rPr>
        <w:t xml:space="preserve">Por otra parte para el ejercicio fiscal 2022, se prevé una proyección  por concepto de </w:t>
      </w:r>
      <w:r w:rsidR="00487781">
        <w:rPr>
          <w:rFonts w:ascii="Century Gothic" w:eastAsia="Times New Roman" w:hAnsi="Century Gothic" w:cs="Arial"/>
          <w:color w:val="000000"/>
          <w:lang w:val="es-MX"/>
        </w:rPr>
        <w:t>“</w:t>
      </w:r>
      <w:r w:rsidRPr="00487781">
        <w:rPr>
          <w:rFonts w:ascii="Century Gothic" w:eastAsia="Times New Roman" w:hAnsi="Century Gothic" w:cs="Arial"/>
          <w:b/>
          <w:color w:val="000000"/>
          <w:u w:val="single"/>
          <w:lang w:val="es-MX"/>
        </w:rPr>
        <w:t>Convenios</w:t>
      </w:r>
      <w:r w:rsidR="00487781">
        <w:rPr>
          <w:rFonts w:ascii="Century Gothic" w:eastAsia="Times New Roman" w:hAnsi="Century Gothic" w:cs="Arial"/>
          <w:color w:val="000000"/>
          <w:lang w:val="es-MX"/>
        </w:rPr>
        <w:t>”</w:t>
      </w:r>
      <w:r>
        <w:rPr>
          <w:rFonts w:ascii="Century Gothic" w:eastAsia="Times New Roman" w:hAnsi="Century Gothic" w:cs="Arial"/>
          <w:color w:val="000000"/>
          <w:lang w:val="es-MX"/>
        </w:rPr>
        <w:t xml:space="preserve"> de</w:t>
      </w:r>
      <w:r w:rsidRPr="00CB764A">
        <w:rPr>
          <w:rFonts w:ascii="Century Gothic" w:eastAsia="Times New Roman" w:hAnsi="Century Gothic" w:cs="Arial"/>
          <w:b/>
          <w:color w:val="000000"/>
          <w:lang w:val="es-MX"/>
        </w:rPr>
        <w:t xml:space="preserve"> $60,000,000.00 (Sesenta millones de pesos 00/100 Moneda Nacional)</w:t>
      </w:r>
      <w:r>
        <w:rPr>
          <w:rFonts w:ascii="Century Gothic" w:eastAsia="Times New Roman" w:hAnsi="Century Gothic" w:cs="Arial"/>
          <w:color w:val="000000"/>
          <w:lang w:val="es-MX"/>
        </w:rPr>
        <w:t xml:space="preserve">,  rubro en el cual en los últimos cinco años se había  mantenido en  cero, motivo por el cual no existe punto de comparación para fines </w:t>
      </w:r>
      <w:r w:rsidR="009412BE">
        <w:rPr>
          <w:rFonts w:ascii="Century Gothic" w:eastAsia="Times New Roman" w:hAnsi="Century Gothic" w:cs="Arial"/>
          <w:color w:val="000000"/>
          <w:lang w:val="es-MX"/>
        </w:rPr>
        <w:t xml:space="preserve">estadísticos e informativos, </w:t>
      </w:r>
      <w:r w:rsidR="009412BE" w:rsidRPr="00A377A6">
        <w:rPr>
          <w:rFonts w:ascii="Century Gothic" w:eastAsia="Times New Roman" w:hAnsi="Century Gothic" w:cs="Arial"/>
          <w:color w:val="000000"/>
          <w:lang w:val="es-MX"/>
        </w:rPr>
        <w:t>d</w:t>
      </w:r>
      <w:r w:rsidR="009412BE">
        <w:rPr>
          <w:rFonts w:ascii="Century Gothic" w:eastAsia="Times New Roman" w:hAnsi="Century Gothic" w:cs="Arial"/>
          <w:color w:val="000000"/>
          <w:lang w:val="es-MX"/>
        </w:rPr>
        <w:t>erivado del convenio que celebró</w:t>
      </w:r>
      <w:r w:rsidR="009412BE" w:rsidRPr="00A377A6">
        <w:rPr>
          <w:rFonts w:ascii="Century Gothic" w:eastAsia="Times New Roman" w:hAnsi="Century Gothic" w:cs="Arial"/>
          <w:color w:val="000000"/>
          <w:lang w:val="es-MX"/>
        </w:rPr>
        <w:t xml:space="preserve"> el Municipio con la Secretaría de Comunicaciones y Transportes y la Concesionaria Autopista Monterrey - Saltillo para la coordinación de acciones para la construcción de la Autopista Monterrey – Saltillo.</w:t>
      </w:r>
    </w:p>
    <w:p w:rsidR="00CB764A" w:rsidRPr="00A377A6" w:rsidRDefault="009412BE" w:rsidP="009412BE">
      <w:pPr>
        <w:spacing w:line="360" w:lineRule="auto"/>
        <w:ind w:firstLine="720"/>
        <w:jc w:val="both"/>
        <w:rPr>
          <w:rFonts w:ascii="Century Gothic" w:eastAsia="Times New Roman" w:hAnsi="Century Gothic" w:cs="Arial"/>
          <w:color w:val="000000"/>
          <w:lang w:val="es-MX"/>
        </w:rPr>
      </w:pPr>
      <w:r>
        <w:rPr>
          <w:rFonts w:ascii="Century Gothic" w:eastAsia="Times New Roman" w:hAnsi="Century Gothic" w:cs="Arial"/>
          <w:color w:val="000000"/>
          <w:lang w:val="es-MX"/>
        </w:rPr>
        <w:lastRenderedPageBreak/>
        <w:t>E</w:t>
      </w:r>
      <w:r w:rsidR="00CB764A" w:rsidRPr="00A377A6">
        <w:rPr>
          <w:rFonts w:ascii="Century Gothic" w:eastAsia="Times New Roman" w:hAnsi="Century Gothic" w:cs="Arial"/>
          <w:color w:val="000000"/>
          <w:lang w:val="es-MX"/>
        </w:rPr>
        <w:t>n la misma situación se encuentra el rubro de ingresos “</w:t>
      </w:r>
      <w:r w:rsidR="00CB764A" w:rsidRPr="00487781">
        <w:rPr>
          <w:rFonts w:ascii="Century Gothic" w:eastAsia="Times New Roman" w:hAnsi="Century Gothic" w:cs="Arial"/>
          <w:b/>
          <w:color w:val="000000"/>
          <w:u w:val="single"/>
          <w:lang w:val="es-MX"/>
        </w:rPr>
        <w:t>Incentivos de Colaboración Fiscal</w:t>
      </w:r>
      <w:r w:rsidR="00CB764A" w:rsidRPr="00A377A6">
        <w:rPr>
          <w:rFonts w:ascii="Century Gothic" w:eastAsia="Times New Roman" w:hAnsi="Century Gothic" w:cs="Arial"/>
          <w:color w:val="000000"/>
          <w:lang w:val="es-MX"/>
        </w:rPr>
        <w:t xml:space="preserve">” cuya proyección para el ejercicio fiscal 2022 asciende a un monto de: </w:t>
      </w:r>
      <w:r w:rsidR="00CB764A" w:rsidRPr="00A377A6">
        <w:rPr>
          <w:rFonts w:ascii="Century Gothic" w:eastAsia="Times New Roman" w:hAnsi="Century Gothic" w:cs="Arial"/>
          <w:b/>
          <w:color w:val="000000"/>
          <w:lang w:val="es-MX"/>
        </w:rPr>
        <w:t>$58,186,448.66 (Cincuenta y ocho millones, ciento ochenta y seis mil cuatrocientos cuarenta y ocho pesos 66/100 Moneda Nacional)</w:t>
      </w:r>
      <w:r w:rsidR="00CB764A" w:rsidRPr="00A377A6">
        <w:rPr>
          <w:rFonts w:ascii="Century Gothic" w:eastAsia="Times New Roman" w:hAnsi="Century Gothic" w:cs="Arial"/>
          <w:color w:val="000000"/>
          <w:lang w:val="es-MX"/>
        </w:rPr>
        <w:t xml:space="preserve"> esto d</w:t>
      </w:r>
      <w:r w:rsidR="006E4F2B">
        <w:rPr>
          <w:rFonts w:ascii="Century Gothic" w:eastAsia="Times New Roman" w:hAnsi="Century Gothic" w:cs="Arial"/>
          <w:color w:val="000000"/>
          <w:lang w:val="es-MX"/>
        </w:rPr>
        <w:t xml:space="preserve">erivado del convenio </w:t>
      </w:r>
      <w:r>
        <w:rPr>
          <w:rFonts w:ascii="Century Gothic" w:eastAsia="Times New Roman" w:hAnsi="Century Gothic" w:cs="Arial"/>
          <w:color w:val="000000"/>
          <w:lang w:val="es-MX"/>
        </w:rPr>
        <w:t xml:space="preserve">con el Gobierno del Estado de Nuevo León, respecto al Impuesto Sobre Automóviles Nuevos (ISAN) y al Fondo de Compensación del ISAN. </w:t>
      </w:r>
    </w:p>
    <w:p w:rsidR="00525451" w:rsidRPr="00A377A6" w:rsidRDefault="00525451" w:rsidP="000B72A7">
      <w:pPr>
        <w:spacing w:line="360" w:lineRule="auto"/>
        <w:jc w:val="both"/>
        <w:rPr>
          <w:rFonts w:ascii="Century Gothic" w:hAnsi="Century Gothic"/>
          <w:sz w:val="22"/>
          <w:lang w:val="es-MX"/>
        </w:rPr>
      </w:pPr>
    </w:p>
    <w:p w:rsidR="009A280A" w:rsidRDefault="00D87DE0" w:rsidP="008D7D5A">
      <w:pPr>
        <w:spacing w:line="360" w:lineRule="auto"/>
        <w:ind w:firstLine="720"/>
        <w:jc w:val="both"/>
        <w:rPr>
          <w:rFonts w:ascii="Century Gothic" w:hAnsi="Century Gothic"/>
          <w:lang w:val="es-MX"/>
        </w:rPr>
      </w:pPr>
      <w:r w:rsidRPr="00A377A6">
        <w:rPr>
          <w:rFonts w:ascii="Century Gothic" w:hAnsi="Century Gothic"/>
          <w:lang w:val="es-MX"/>
        </w:rPr>
        <w:t>En la</w:t>
      </w:r>
      <w:r w:rsidR="000B0879" w:rsidRPr="00A377A6">
        <w:rPr>
          <w:rFonts w:ascii="Century Gothic" w:hAnsi="Century Gothic"/>
          <w:lang w:val="es-MX"/>
        </w:rPr>
        <w:t xml:space="preserve"> gráfica </w:t>
      </w:r>
      <w:r w:rsidR="00CD162D" w:rsidRPr="00A377A6">
        <w:rPr>
          <w:rFonts w:ascii="Century Gothic" w:hAnsi="Century Gothic"/>
          <w:lang w:val="es-MX"/>
        </w:rPr>
        <w:t>4.1</w:t>
      </w:r>
      <w:r w:rsidR="000B0879" w:rsidRPr="00A377A6">
        <w:rPr>
          <w:rFonts w:ascii="Century Gothic" w:hAnsi="Century Gothic"/>
          <w:lang w:val="es-MX"/>
        </w:rPr>
        <w:t xml:space="preserve">, se </w:t>
      </w:r>
      <w:r w:rsidRPr="00A377A6">
        <w:rPr>
          <w:rFonts w:ascii="Century Gothic" w:hAnsi="Century Gothic"/>
          <w:lang w:val="es-MX"/>
        </w:rPr>
        <w:t>puede</w:t>
      </w:r>
      <w:r w:rsidRPr="0050035B">
        <w:rPr>
          <w:rFonts w:ascii="Century Gothic" w:hAnsi="Century Gothic"/>
          <w:lang w:val="es-MX"/>
        </w:rPr>
        <w:t xml:space="preserve"> observar la</w:t>
      </w:r>
      <w:r w:rsidR="000B0879" w:rsidRPr="0050035B">
        <w:rPr>
          <w:rFonts w:ascii="Century Gothic" w:hAnsi="Century Gothic"/>
          <w:lang w:val="es-MX"/>
        </w:rPr>
        <w:t xml:space="preserve"> distribución porcentual de las transferencias intergubernamentales, de las cuales el </w:t>
      </w:r>
      <w:r w:rsidR="00D337AD" w:rsidRPr="0050035B">
        <w:rPr>
          <w:rFonts w:ascii="Century Gothic" w:hAnsi="Century Gothic"/>
          <w:lang w:val="es-MX"/>
        </w:rPr>
        <w:t>7</w:t>
      </w:r>
      <w:r w:rsidR="009A280A">
        <w:rPr>
          <w:rFonts w:ascii="Century Gothic" w:hAnsi="Century Gothic"/>
          <w:lang w:val="es-MX"/>
        </w:rPr>
        <w:t>1</w:t>
      </w:r>
      <w:r w:rsidR="00877277">
        <w:rPr>
          <w:rFonts w:ascii="Century Gothic" w:hAnsi="Century Gothic"/>
          <w:lang w:val="es-MX"/>
        </w:rPr>
        <w:t>.1</w:t>
      </w:r>
      <w:r w:rsidR="00EA197E" w:rsidRPr="0050035B">
        <w:rPr>
          <w:rFonts w:ascii="Century Gothic" w:hAnsi="Century Gothic"/>
          <w:lang w:val="es-MX"/>
        </w:rPr>
        <w:t xml:space="preserve">% </w:t>
      </w:r>
      <w:r w:rsidR="000B0879" w:rsidRPr="0050035B">
        <w:rPr>
          <w:rFonts w:ascii="Century Gothic" w:hAnsi="Century Gothic"/>
          <w:lang w:val="es-MX"/>
        </w:rPr>
        <w:t>corresponde a</w:t>
      </w:r>
      <w:r w:rsidR="0025074A" w:rsidRPr="0050035B">
        <w:rPr>
          <w:rFonts w:ascii="Century Gothic" w:hAnsi="Century Gothic"/>
          <w:lang w:val="es-MX"/>
        </w:rPr>
        <w:t>l rubro de</w:t>
      </w:r>
      <w:r w:rsidR="000B0879" w:rsidRPr="0050035B">
        <w:rPr>
          <w:rFonts w:ascii="Century Gothic" w:hAnsi="Century Gothic"/>
          <w:lang w:val="es-MX"/>
        </w:rPr>
        <w:t xml:space="preserve"> Participaciones</w:t>
      </w:r>
      <w:r w:rsidR="009A280A">
        <w:rPr>
          <w:rFonts w:ascii="Century Gothic" w:hAnsi="Century Gothic"/>
          <w:lang w:val="es-MX"/>
        </w:rPr>
        <w:t>,</w:t>
      </w:r>
      <w:r w:rsidR="000B0879" w:rsidRPr="0050035B">
        <w:rPr>
          <w:rFonts w:ascii="Century Gothic" w:hAnsi="Century Gothic"/>
          <w:lang w:val="es-MX"/>
        </w:rPr>
        <w:t xml:space="preserve"> el </w:t>
      </w:r>
      <w:r w:rsidR="00D337AD" w:rsidRPr="0050035B">
        <w:rPr>
          <w:rFonts w:ascii="Century Gothic" w:hAnsi="Century Gothic"/>
          <w:lang w:val="es-MX"/>
        </w:rPr>
        <w:t>2</w:t>
      </w:r>
      <w:r w:rsidR="00877277">
        <w:rPr>
          <w:rFonts w:ascii="Century Gothic" w:hAnsi="Century Gothic"/>
          <w:lang w:val="es-MX"/>
        </w:rPr>
        <w:t>3.63</w:t>
      </w:r>
      <w:r w:rsidR="00EA197E" w:rsidRPr="0050035B">
        <w:rPr>
          <w:rFonts w:ascii="Century Gothic" w:hAnsi="Century Gothic"/>
          <w:lang w:val="es-MX"/>
        </w:rPr>
        <w:t>%</w:t>
      </w:r>
      <w:r w:rsidR="000B0879" w:rsidRPr="0050035B">
        <w:rPr>
          <w:rFonts w:ascii="Century Gothic" w:hAnsi="Century Gothic"/>
          <w:lang w:val="es-MX"/>
        </w:rPr>
        <w:t xml:space="preserve"> a</w:t>
      </w:r>
      <w:r w:rsidR="0025074A" w:rsidRPr="0050035B">
        <w:rPr>
          <w:rFonts w:ascii="Century Gothic" w:hAnsi="Century Gothic"/>
          <w:lang w:val="es-MX"/>
        </w:rPr>
        <w:t>l rubro de</w:t>
      </w:r>
      <w:r w:rsidR="00482043" w:rsidRPr="0050035B">
        <w:rPr>
          <w:rFonts w:ascii="Century Gothic" w:hAnsi="Century Gothic"/>
          <w:lang w:val="es-MX"/>
        </w:rPr>
        <w:t xml:space="preserve"> </w:t>
      </w:r>
      <w:r w:rsidR="0025074A" w:rsidRPr="0050035B">
        <w:rPr>
          <w:rFonts w:ascii="Century Gothic" w:hAnsi="Century Gothic"/>
          <w:lang w:val="es-MX"/>
        </w:rPr>
        <w:t>Aportaciones</w:t>
      </w:r>
      <w:r w:rsidR="009A280A">
        <w:rPr>
          <w:rFonts w:ascii="Century Gothic" w:hAnsi="Century Gothic"/>
          <w:lang w:val="es-MX"/>
        </w:rPr>
        <w:t>, 2</w:t>
      </w:r>
      <w:r w:rsidR="00877277">
        <w:rPr>
          <w:rFonts w:ascii="Century Gothic" w:hAnsi="Century Gothic"/>
          <w:lang w:val="es-MX"/>
        </w:rPr>
        <w:t>.07</w:t>
      </w:r>
      <w:r w:rsidR="009A280A">
        <w:rPr>
          <w:rFonts w:ascii="Century Gothic" w:hAnsi="Century Gothic"/>
          <w:lang w:val="es-MX"/>
        </w:rPr>
        <w:t xml:space="preserve">% a </w:t>
      </w:r>
      <w:r w:rsidR="006E4F2B">
        <w:rPr>
          <w:rFonts w:ascii="Century Gothic" w:hAnsi="Century Gothic"/>
          <w:lang w:val="es-MX"/>
        </w:rPr>
        <w:t>T</w:t>
      </w:r>
      <w:r w:rsidR="009A280A">
        <w:rPr>
          <w:rFonts w:ascii="Century Gothic" w:hAnsi="Century Gothic"/>
          <w:lang w:val="es-MX"/>
        </w:rPr>
        <w:t xml:space="preserve">ransferencias, asignaciones, subsidios y otras ayudas, </w:t>
      </w:r>
      <w:r w:rsidR="00877277">
        <w:rPr>
          <w:rFonts w:ascii="Century Gothic" w:hAnsi="Century Gothic"/>
          <w:lang w:val="es-MX"/>
        </w:rPr>
        <w:t>1.63</w:t>
      </w:r>
      <w:r w:rsidR="009A280A">
        <w:rPr>
          <w:rFonts w:ascii="Century Gothic" w:hAnsi="Century Gothic"/>
          <w:lang w:val="es-MX"/>
        </w:rPr>
        <w:t>% para convenios y 1</w:t>
      </w:r>
      <w:r w:rsidR="00877277">
        <w:rPr>
          <w:rFonts w:ascii="Century Gothic" w:hAnsi="Century Gothic"/>
          <w:lang w:val="es-MX"/>
        </w:rPr>
        <w:t>.58</w:t>
      </w:r>
      <w:r w:rsidR="009A280A">
        <w:rPr>
          <w:rFonts w:ascii="Century Gothic" w:hAnsi="Century Gothic"/>
          <w:lang w:val="es-MX"/>
        </w:rPr>
        <w:t>% para Incentivos de Colaboración Fiscal los cuales</w:t>
      </w:r>
      <w:r w:rsidR="009A280A" w:rsidRPr="0050035B">
        <w:rPr>
          <w:rFonts w:ascii="Century Gothic" w:hAnsi="Century Gothic"/>
          <w:lang w:val="es-MX"/>
        </w:rPr>
        <w:t xml:space="preserve"> se esperan ingresar para 202</w:t>
      </w:r>
      <w:r w:rsidR="009A280A">
        <w:rPr>
          <w:rFonts w:ascii="Century Gothic" w:hAnsi="Century Gothic"/>
          <w:lang w:val="es-MX"/>
        </w:rPr>
        <w:t>2</w:t>
      </w:r>
      <w:r w:rsidR="009A280A" w:rsidRPr="0050035B">
        <w:rPr>
          <w:rFonts w:ascii="Century Gothic" w:hAnsi="Century Gothic"/>
          <w:lang w:val="es-MX"/>
        </w:rPr>
        <w:t>.</w:t>
      </w:r>
    </w:p>
    <w:p w:rsidR="001D57B4" w:rsidRPr="0050035B" w:rsidRDefault="001D57B4" w:rsidP="001D57B4">
      <w:pPr>
        <w:ind w:right="-257"/>
        <w:jc w:val="center"/>
        <w:rPr>
          <w:rFonts w:ascii="Century Gothic" w:hAnsi="Century Gothic"/>
          <w:sz w:val="22"/>
          <w:szCs w:val="22"/>
          <w:lang w:val="es-MX"/>
        </w:rPr>
      </w:pPr>
      <w:r w:rsidRPr="0050035B">
        <w:rPr>
          <w:rFonts w:ascii="Century Gothic" w:hAnsi="Century Gothic"/>
          <w:b/>
          <w:sz w:val="22"/>
          <w:szCs w:val="22"/>
          <w:lang w:val="es-MX"/>
        </w:rPr>
        <w:t xml:space="preserve">Gráfica </w:t>
      </w:r>
      <w:r w:rsidR="00CD162D" w:rsidRPr="0050035B">
        <w:rPr>
          <w:rFonts w:ascii="Century Gothic" w:hAnsi="Century Gothic"/>
          <w:b/>
          <w:sz w:val="22"/>
          <w:szCs w:val="22"/>
          <w:lang w:val="es-MX"/>
        </w:rPr>
        <w:t>4.1</w:t>
      </w:r>
      <w:r w:rsidR="00DF31E3" w:rsidRPr="0050035B">
        <w:rPr>
          <w:rFonts w:ascii="Century Gothic" w:hAnsi="Century Gothic"/>
          <w:b/>
          <w:sz w:val="22"/>
          <w:szCs w:val="22"/>
          <w:lang w:val="es-MX"/>
        </w:rPr>
        <w:t>.</w:t>
      </w:r>
      <w:r w:rsidRPr="0050035B">
        <w:rPr>
          <w:rFonts w:ascii="Century Gothic" w:hAnsi="Century Gothic"/>
          <w:sz w:val="22"/>
          <w:szCs w:val="22"/>
          <w:lang w:val="es-MX"/>
        </w:rPr>
        <w:t xml:space="preserve"> Distribución de los Ingresos por concepto de Participaciones y Aportaciones presupuestadas para el 202</w:t>
      </w:r>
      <w:r w:rsidR="00CB764A">
        <w:rPr>
          <w:rFonts w:ascii="Century Gothic" w:hAnsi="Century Gothic"/>
          <w:sz w:val="22"/>
          <w:szCs w:val="22"/>
          <w:lang w:val="es-MX"/>
        </w:rPr>
        <w:t>2</w:t>
      </w:r>
    </w:p>
    <w:p w:rsidR="001D57B4" w:rsidRPr="0050035B" w:rsidRDefault="00CB764A" w:rsidP="00720FA2">
      <w:pPr>
        <w:spacing w:line="360" w:lineRule="auto"/>
        <w:rPr>
          <w:rFonts w:ascii="Century Gothic" w:hAnsi="Century Gothic"/>
          <w:lang w:val="es-MX"/>
        </w:rPr>
      </w:pPr>
      <w:r w:rsidRPr="008D7D5A">
        <w:rPr>
          <w:noProof/>
          <w:sz w:val="22"/>
          <w:lang w:val="es-MX" w:eastAsia="es-MX"/>
        </w:rPr>
        <w:drawing>
          <wp:inline distT="0" distB="0" distL="0" distR="0" wp14:anchorId="363DC606" wp14:editId="74EBFC44">
            <wp:extent cx="5543550" cy="3314700"/>
            <wp:effectExtent l="57150" t="57150" r="38100" b="3810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B0879" w:rsidRPr="0050035B" w:rsidRDefault="000B0879" w:rsidP="00CD162D">
      <w:pPr>
        <w:tabs>
          <w:tab w:val="left" w:pos="6474"/>
        </w:tabs>
        <w:spacing w:line="360" w:lineRule="auto"/>
        <w:jc w:val="center"/>
        <w:rPr>
          <w:rFonts w:ascii="Century Gothic" w:hAnsi="Century Gothic"/>
          <w:lang w:val="es-MX"/>
        </w:rPr>
      </w:pPr>
      <w:r w:rsidRPr="0050035B">
        <w:rPr>
          <w:rFonts w:ascii="Century Gothic" w:hAnsi="Century Gothic"/>
          <w:b/>
          <w:sz w:val="20"/>
          <w:szCs w:val="20"/>
          <w:lang w:val="es-MX"/>
        </w:rPr>
        <w:t>Fuente</w:t>
      </w:r>
      <w:r w:rsidRPr="0050035B">
        <w:rPr>
          <w:rFonts w:ascii="Century Gothic" w:hAnsi="Century Gothic"/>
          <w:sz w:val="20"/>
          <w:szCs w:val="20"/>
          <w:lang w:val="es-MX"/>
        </w:rPr>
        <w:t>: Elaborac</w:t>
      </w:r>
      <w:r w:rsidR="0025074A" w:rsidRPr="0050035B">
        <w:rPr>
          <w:rFonts w:ascii="Century Gothic" w:hAnsi="Century Gothic"/>
          <w:sz w:val="20"/>
          <w:szCs w:val="20"/>
          <w:lang w:val="es-MX"/>
        </w:rPr>
        <w:t>ión propia, 20</w:t>
      </w:r>
      <w:r w:rsidR="00645B25" w:rsidRPr="0050035B">
        <w:rPr>
          <w:rFonts w:ascii="Century Gothic" w:hAnsi="Century Gothic"/>
          <w:sz w:val="20"/>
          <w:szCs w:val="20"/>
          <w:lang w:val="es-MX"/>
        </w:rPr>
        <w:t>2</w:t>
      </w:r>
      <w:r w:rsidR="00CB764A">
        <w:rPr>
          <w:rFonts w:ascii="Century Gothic" w:hAnsi="Century Gothic"/>
          <w:sz w:val="20"/>
          <w:szCs w:val="20"/>
          <w:lang w:val="es-MX"/>
        </w:rPr>
        <w:t>1</w:t>
      </w:r>
      <w:r w:rsidRPr="0050035B">
        <w:rPr>
          <w:rFonts w:ascii="Century Gothic" w:hAnsi="Century Gothic"/>
          <w:sz w:val="20"/>
          <w:szCs w:val="20"/>
          <w:lang w:val="es-MX"/>
        </w:rPr>
        <w:t>.</w:t>
      </w:r>
    </w:p>
    <w:p w:rsidR="00911043" w:rsidRPr="0050035B" w:rsidRDefault="0025074A" w:rsidP="00A377A6">
      <w:pPr>
        <w:spacing w:line="360" w:lineRule="auto"/>
        <w:ind w:firstLine="720"/>
        <w:jc w:val="both"/>
        <w:rPr>
          <w:rFonts w:ascii="Century Gothic" w:hAnsi="Century Gothic"/>
          <w:lang w:val="es-MX"/>
        </w:rPr>
      </w:pPr>
      <w:r w:rsidRPr="0050035B">
        <w:rPr>
          <w:rFonts w:ascii="Century Gothic" w:hAnsi="Century Gothic"/>
          <w:lang w:val="es-MX"/>
        </w:rPr>
        <w:lastRenderedPageBreak/>
        <w:t xml:space="preserve">Para complementar esta información, </w:t>
      </w:r>
      <w:r w:rsidR="00DA130C" w:rsidRPr="0050035B">
        <w:rPr>
          <w:rFonts w:ascii="Century Gothic" w:hAnsi="Century Gothic"/>
          <w:lang w:val="es-MX"/>
        </w:rPr>
        <w:t xml:space="preserve">la tabla </w:t>
      </w:r>
      <w:r w:rsidR="00416083" w:rsidRPr="0050035B">
        <w:rPr>
          <w:rFonts w:ascii="Century Gothic" w:hAnsi="Century Gothic"/>
          <w:lang w:val="es-MX"/>
        </w:rPr>
        <w:t>4.7</w:t>
      </w:r>
      <w:r w:rsidR="00DA130C" w:rsidRPr="0050035B">
        <w:rPr>
          <w:rFonts w:ascii="Century Gothic" w:hAnsi="Century Gothic"/>
          <w:lang w:val="es-MX"/>
        </w:rPr>
        <w:t xml:space="preserve"> </w:t>
      </w:r>
      <w:r w:rsidRPr="0050035B">
        <w:rPr>
          <w:rFonts w:ascii="Century Gothic" w:hAnsi="Century Gothic"/>
          <w:lang w:val="es-MX"/>
        </w:rPr>
        <w:t xml:space="preserve">permite hacer un análisis histórico de los datos, respecto a los ingresos </w:t>
      </w:r>
      <w:r w:rsidR="003A67B8" w:rsidRPr="0050035B">
        <w:rPr>
          <w:rFonts w:ascii="Century Gothic" w:hAnsi="Century Gothic"/>
          <w:lang w:val="es-MX"/>
        </w:rPr>
        <w:t xml:space="preserve">estimados </w:t>
      </w:r>
      <w:r w:rsidRPr="0050035B">
        <w:rPr>
          <w:rFonts w:ascii="Century Gothic" w:hAnsi="Century Gothic"/>
          <w:lang w:val="es-MX"/>
        </w:rPr>
        <w:t>por Participaciones</w:t>
      </w:r>
      <w:r w:rsidR="00877277">
        <w:rPr>
          <w:rFonts w:ascii="Century Gothic" w:hAnsi="Century Gothic"/>
          <w:lang w:val="es-MX"/>
        </w:rPr>
        <w:t xml:space="preserve">, </w:t>
      </w:r>
      <w:r w:rsidR="00B115B4" w:rsidRPr="0050035B">
        <w:rPr>
          <w:rFonts w:ascii="Century Gothic" w:hAnsi="Century Gothic"/>
          <w:lang w:val="es-MX"/>
        </w:rPr>
        <w:t>Aportaciones</w:t>
      </w:r>
      <w:r w:rsidR="00877277">
        <w:rPr>
          <w:rFonts w:ascii="Century Gothic" w:hAnsi="Century Gothic"/>
          <w:lang w:val="es-MX"/>
        </w:rPr>
        <w:t xml:space="preserve">, </w:t>
      </w:r>
      <w:r w:rsidR="007B0C1A">
        <w:rPr>
          <w:rFonts w:ascii="Century Gothic" w:hAnsi="Century Gothic"/>
          <w:lang w:val="es-MX"/>
        </w:rPr>
        <w:t>C</w:t>
      </w:r>
      <w:r w:rsidR="00877277">
        <w:rPr>
          <w:rFonts w:ascii="Century Gothic" w:hAnsi="Century Gothic"/>
          <w:lang w:val="es-MX"/>
        </w:rPr>
        <w:t>onvenios e Inventivos Fiscales</w:t>
      </w:r>
      <w:r w:rsidR="00B115B4" w:rsidRPr="0050035B">
        <w:rPr>
          <w:rFonts w:ascii="Century Gothic" w:hAnsi="Century Gothic"/>
          <w:lang w:val="es-MX"/>
        </w:rPr>
        <w:t xml:space="preserve"> del 20</w:t>
      </w:r>
      <w:r w:rsidR="00877277">
        <w:rPr>
          <w:rFonts w:ascii="Century Gothic" w:hAnsi="Century Gothic"/>
          <w:lang w:val="es-MX"/>
        </w:rPr>
        <w:t>20</w:t>
      </w:r>
      <w:r w:rsidR="00416083" w:rsidRPr="0050035B">
        <w:rPr>
          <w:rFonts w:ascii="Century Gothic" w:hAnsi="Century Gothic"/>
          <w:lang w:val="es-MX"/>
        </w:rPr>
        <w:t xml:space="preserve"> a la fecha y como se puede apreciar, la tendencia para 202</w:t>
      </w:r>
      <w:r w:rsidR="00877277">
        <w:rPr>
          <w:rFonts w:ascii="Century Gothic" w:hAnsi="Century Gothic"/>
          <w:lang w:val="es-MX"/>
        </w:rPr>
        <w:t>2</w:t>
      </w:r>
      <w:r w:rsidR="00645B25" w:rsidRPr="0050035B">
        <w:rPr>
          <w:rFonts w:ascii="Century Gothic" w:hAnsi="Century Gothic"/>
          <w:lang w:val="es-MX"/>
        </w:rPr>
        <w:t xml:space="preserve"> </w:t>
      </w:r>
      <w:r w:rsidR="00416083" w:rsidRPr="0050035B">
        <w:rPr>
          <w:rFonts w:ascii="Century Gothic" w:hAnsi="Century Gothic"/>
          <w:lang w:val="es-MX"/>
        </w:rPr>
        <w:t xml:space="preserve">es que en conjunto exista un </w:t>
      </w:r>
      <w:r w:rsidR="00877277">
        <w:rPr>
          <w:rFonts w:ascii="Century Gothic" w:hAnsi="Century Gothic"/>
          <w:lang w:val="es-MX"/>
        </w:rPr>
        <w:t>incremento considerable del 5.</w:t>
      </w:r>
      <w:r w:rsidR="005606EA">
        <w:rPr>
          <w:rFonts w:ascii="Century Gothic" w:hAnsi="Century Gothic"/>
          <w:lang w:val="es-MX"/>
        </w:rPr>
        <w:t>82</w:t>
      </w:r>
      <w:r w:rsidR="00877277">
        <w:rPr>
          <w:rFonts w:ascii="Century Gothic" w:hAnsi="Century Gothic"/>
          <w:lang w:val="es-MX"/>
        </w:rPr>
        <w:t xml:space="preserve">% tomando en consideración que </w:t>
      </w:r>
      <w:r w:rsidR="00F103E5">
        <w:rPr>
          <w:rFonts w:ascii="Century Gothic" w:hAnsi="Century Gothic"/>
          <w:lang w:val="es-MX"/>
        </w:rPr>
        <w:t>para el</w:t>
      </w:r>
      <w:r w:rsidR="00877277">
        <w:rPr>
          <w:rFonts w:ascii="Century Gothic" w:hAnsi="Century Gothic"/>
          <w:lang w:val="es-MX"/>
        </w:rPr>
        <w:t xml:space="preserve"> año 2021, la proyección se encontraba</w:t>
      </w:r>
      <w:r w:rsidR="00D337AD" w:rsidRPr="0050035B">
        <w:rPr>
          <w:rFonts w:ascii="Century Gothic" w:hAnsi="Century Gothic"/>
          <w:lang w:val="es-MX"/>
        </w:rPr>
        <w:t xml:space="preserve">  </w:t>
      </w:r>
      <w:r w:rsidR="00416083" w:rsidRPr="0050035B">
        <w:rPr>
          <w:rFonts w:ascii="Century Gothic" w:hAnsi="Century Gothic"/>
          <w:lang w:val="es-MX"/>
        </w:rPr>
        <w:t xml:space="preserve"> </w:t>
      </w:r>
      <w:r w:rsidR="00D337AD" w:rsidRPr="0050035B">
        <w:rPr>
          <w:rFonts w:ascii="Century Gothic" w:hAnsi="Century Gothic"/>
          <w:lang w:val="es-MX"/>
        </w:rPr>
        <w:t>0.16</w:t>
      </w:r>
      <w:r w:rsidR="00F103E5" w:rsidRPr="0050035B">
        <w:rPr>
          <w:rFonts w:ascii="Century Gothic" w:hAnsi="Century Gothic"/>
          <w:lang w:val="es-MX"/>
        </w:rPr>
        <w:t xml:space="preserve">% </w:t>
      </w:r>
      <w:r w:rsidR="00F103E5">
        <w:rPr>
          <w:rFonts w:ascii="Century Gothic" w:hAnsi="Century Gothic"/>
          <w:lang w:val="es-MX"/>
        </w:rPr>
        <w:t>puntos</w:t>
      </w:r>
      <w:r w:rsidR="00877277">
        <w:rPr>
          <w:rFonts w:ascii="Century Gothic" w:hAnsi="Century Gothic"/>
          <w:lang w:val="es-MX"/>
        </w:rPr>
        <w:t xml:space="preserve"> porcentuales a la baja. </w:t>
      </w:r>
    </w:p>
    <w:p w:rsidR="00911043" w:rsidRPr="0050035B" w:rsidRDefault="00911043" w:rsidP="00416083">
      <w:pPr>
        <w:spacing w:line="360" w:lineRule="auto"/>
        <w:ind w:firstLine="720"/>
        <w:jc w:val="both"/>
        <w:rPr>
          <w:rFonts w:ascii="Century Gothic" w:hAnsi="Century Gothic"/>
          <w:lang w:val="es-MX"/>
        </w:rPr>
      </w:pPr>
    </w:p>
    <w:p w:rsidR="000B0879" w:rsidRPr="0050035B" w:rsidRDefault="000B0879" w:rsidP="00416083">
      <w:pPr>
        <w:spacing w:line="360" w:lineRule="auto"/>
        <w:ind w:firstLine="720"/>
        <w:jc w:val="both"/>
        <w:rPr>
          <w:rFonts w:ascii="Century Gothic" w:hAnsi="Century Gothic"/>
          <w:sz w:val="22"/>
          <w:szCs w:val="22"/>
          <w:lang w:val="es-MX"/>
        </w:rPr>
      </w:pPr>
      <w:r w:rsidRPr="0050035B">
        <w:rPr>
          <w:rFonts w:ascii="Century Gothic" w:hAnsi="Century Gothic"/>
          <w:b/>
          <w:sz w:val="22"/>
          <w:szCs w:val="22"/>
          <w:lang w:val="es-MX"/>
        </w:rPr>
        <w:t xml:space="preserve">Tabla </w:t>
      </w:r>
      <w:r w:rsidR="0028243E" w:rsidRPr="0050035B">
        <w:rPr>
          <w:rFonts w:ascii="Century Gothic" w:hAnsi="Century Gothic"/>
          <w:b/>
          <w:sz w:val="22"/>
          <w:szCs w:val="22"/>
          <w:lang w:val="es-MX"/>
        </w:rPr>
        <w:t>4.7</w:t>
      </w:r>
      <w:r w:rsidR="005267A7" w:rsidRPr="0050035B">
        <w:rPr>
          <w:rFonts w:ascii="Century Gothic" w:hAnsi="Century Gothic"/>
          <w:b/>
          <w:sz w:val="22"/>
          <w:szCs w:val="22"/>
          <w:lang w:val="es-MX"/>
        </w:rPr>
        <w:t>.</w:t>
      </w:r>
      <w:r w:rsidRPr="0050035B">
        <w:rPr>
          <w:rFonts w:ascii="Century Gothic" w:hAnsi="Century Gothic"/>
          <w:b/>
          <w:sz w:val="22"/>
          <w:szCs w:val="22"/>
          <w:lang w:val="es-MX"/>
        </w:rPr>
        <w:t xml:space="preserve"> </w:t>
      </w:r>
      <w:r w:rsidRPr="0050035B">
        <w:rPr>
          <w:rFonts w:ascii="Century Gothic" w:hAnsi="Century Gothic"/>
          <w:sz w:val="22"/>
          <w:szCs w:val="22"/>
          <w:lang w:val="es-MX"/>
        </w:rPr>
        <w:t>Comparativa de ingresos presupuestados por concepto de</w:t>
      </w:r>
    </w:p>
    <w:p w:rsidR="000B0879" w:rsidRPr="0050035B" w:rsidRDefault="000B0879" w:rsidP="000B0879">
      <w:pPr>
        <w:jc w:val="center"/>
        <w:rPr>
          <w:rFonts w:ascii="Century Gothic" w:hAnsi="Century Gothic"/>
          <w:sz w:val="22"/>
          <w:szCs w:val="22"/>
          <w:lang w:val="es-MX"/>
        </w:rPr>
      </w:pPr>
      <w:r w:rsidRPr="0050035B">
        <w:rPr>
          <w:rFonts w:ascii="Century Gothic" w:hAnsi="Century Gothic"/>
          <w:sz w:val="22"/>
          <w:szCs w:val="22"/>
          <w:lang w:val="es-MX"/>
        </w:rPr>
        <w:t xml:space="preserve"> </w:t>
      </w:r>
      <w:r w:rsidR="00840B89" w:rsidRPr="0050035B">
        <w:rPr>
          <w:rFonts w:ascii="Century Gothic" w:hAnsi="Century Gothic"/>
          <w:sz w:val="22"/>
          <w:szCs w:val="22"/>
          <w:lang w:val="es-MX"/>
        </w:rPr>
        <w:t>Participaciones</w:t>
      </w:r>
      <w:r w:rsidRPr="0050035B">
        <w:rPr>
          <w:rFonts w:ascii="Century Gothic" w:hAnsi="Century Gothic"/>
          <w:sz w:val="22"/>
          <w:szCs w:val="22"/>
          <w:lang w:val="es-MX"/>
        </w:rPr>
        <w:t xml:space="preserve"> y </w:t>
      </w:r>
      <w:r w:rsidR="00840B89" w:rsidRPr="0050035B">
        <w:rPr>
          <w:rFonts w:ascii="Century Gothic" w:hAnsi="Century Gothic"/>
          <w:sz w:val="22"/>
          <w:szCs w:val="22"/>
          <w:lang w:val="es-MX"/>
        </w:rPr>
        <w:t>Aportaciones</w:t>
      </w:r>
      <w:r w:rsidR="00B115B4" w:rsidRPr="0050035B">
        <w:rPr>
          <w:rFonts w:ascii="Century Gothic" w:hAnsi="Century Gothic"/>
          <w:sz w:val="22"/>
          <w:szCs w:val="22"/>
          <w:lang w:val="es-MX"/>
        </w:rPr>
        <w:t xml:space="preserve"> (20</w:t>
      </w:r>
      <w:r w:rsidR="00F103E5">
        <w:rPr>
          <w:rFonts w:ascii="Century Gothic" w:hAnsi="Century Gothic"/>
          <w:sz w:val="22"/>
          <w:szCs w:val="22"/>
          <w:lang w:val="es-MX"/>
        </w:rPr>
        <w:t>20</w:t>
      </w:r>
      <w:r w:rsidRPr="0050035B">
        <w:rPr>
          <w:rFonts w:ascii="Century Gothic" w:hAnsi="Century Gothic"/>
          <w:sz w:val="22"/>
          <w:szCs w:val="22"/>
          <w:lang w:val="es-MX"/>
        </w:rPr>
        <w:t>– 20</w:t>
      </w:r>
      <w:r w:rsidR="00645B25" w:rsidRPr="0050035B">
        <w:rPr>
          <w:rFonts w:ascii="Century Gothic" w:hAnsi="Century Gothic"/>
          <w:sz w:val="22"/>
          <w:szCs w:val="22"/>
          <w:lang w:val="es-MX"/>
        </w:rPr>
        <w:t>2</w:t>
      </w:r>
      <w:r w:rsidR="00F103E5">
        <w:rPr>
          <w:rFonts w:ascii="Century Gothic" w:hAnsi="Century Gothic"/>
          <w:sz w:val="22"/>
          <w:szCs w:val="22"/>
          <w:lang w:val="es-MX"/>
        </w:rPr>
        <w:t>2</w:t>
      </w:r>
      <w:r w:rsidR="009D484B" w:rsidRPr="0050035B">
        <w:rPr>
          <w:rFonts w:ascii="Century Gothic" w:hAnsi="Century Gothic"/>
          <w:sz w:val="22"/>
          <w:szCs w:val="22"/>
          <w:lang w:val="es-MX"/>
        </w:rPr>
        <w:t>)</w:t>
      </w:r>
    </w:p>
    <w:tbl>
      <w:tblPr>
        <w:tblpPr w:leftFromText="141" w:rightFromText="141" w:vertAnchor="text" w:horzAnchor="margin" w:tblpXSpec="center" w:tblpY="73"/>
        <w:tblW w:w="5000" w:type="pct"/>
        <w:tblLook w:val="04A0" w:firstRow="1" w:lastRow="0" w:firstColumn="1" w:lastColumn="0" w:noHBand="0" w:noVBand="1"/>
      </w:tblPr>
      <w:tblGrid>
        <w:gridCol w:w="2222"/>
        <w:gridCol w:w="1944"/>
        <w:gridCol w:w="1728"/>
        <w:gridCol w:w="1728"/>
        <w:gridCol w:w="1173"/>
      </w:tblGrid>
      <w:tr w:rsidR="00645B25" w:rsidRPr="0050035B" w:rsidTr="00E44364">
        <w:trPr>
          <w:trHeight w:val="320"/>
        </w:trPr>
        <w:tc>
          <w:tcPr>
            <w:tcW w:w="1263" w:type="pct"/>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645B25" w:rsidRPr="00E44364" w:rsidRDefault="00645B25" w:rsidP="00645B25">
            <w:pPr>
              <w:jc w:val="center"/>
              <w:rPr>
                <w:rFonts w:ascii="Century Gothic" w:eastAsia="Times New Roman" w:hAnsi="Century Gothic" w:cs="Arial"/>
                <w:b/>
                <w:bCs/>
                <w:color w:val="000000" w:themeColor="text1"/>
                <w:sz w:val="18"/>
                <w:szCs w:val="18"/>
                <w:lang w:val="es-MX"/>
              </w:rPr>
            </w:pPr>
            <w:r w:rsidRPr="00E44364">
              <w:rPr>
                <w:rFonts w:ascii="Century Gothic" w:eastAsia="Times New Roman" w:hAnsi="Century Gothic" w:cs="Arial"/>
                <w:b/>
                <w:bCs/>
                <w:color w:val="000000" w:themeColor="text1"/>
                <w:sz w:val="18"/>
                <w:szCs w:val="18"/>
                <w:lang w:val="es-MX"/>
              </w:rPr>
              <w:t>CONCEPTO</w:t>
            </w:r>
          </w:p>
        </w:tc>
        <w:tc>
          <w:tcPr>
            <w:tcW w:w="1105" w:type="pct"/>
            <w:tcBorders>
              <w:top w:val="single" w:sz="8" w:space="0" w:color="auto"/>
              <w:left w:val="nil"/>
              <w:bottom w:val="single" w:sz="4" w:space="0" w:color="auto"/>
              <w:right w:val="single" w:sz="4" w:space="0" w:color="auto"/>
            </w:tcBorders>
            <w:shd w:val="clear" w:color="auto" w:fill="FABF8F" w:themeFill="accent6" w:themeFillTint="99"/>
            <w:vAlign w:val="center"/>
            <w:hideMark/>
          </w:tcPr>
          <w:p w:rsidR="00645B25" w:rsidRPr="00E44364" w:rsidRDefault="00645B25" w:rsidP="00645B25">
            <w:pPr>
              <w:jc w:val="center"/>
              <w:rPr>
                <w:rFonts w:ascii="Century Gothic" w:eastAsia="Times New Roman" w:hAnsi="Century Gothic" w:cs="Arial"/>
                <w:b/>
                <w:bCs/>
                <w:color w:val="000000" w:themeColor="text1"/>
                <w:sz w:val="16"/>
                <w:szCs w:val="16"/>
                <w:highlight w:val="yellow"/>
                <w:lang w:val="es-MX"/>
              </w:rPr>
            </w:pPr>
            <w:r w:rsidRPr="00E44364">
              <w:rPr>
                <w:rFonts w:ascii="Century Gothic" w:hAnsi="Century Gothic"/>
                <w:b/>
                <w:color w:val="000000" w:themeColor="text1"/>
                <w:sz w:val="16"/>
                <w:szCs w:val="16"/>
                <w:lang w:val="es-MX"/>
              </w:rPr>
              <w:t>Presupuesto aprobado 20</w:t>
            </w:r>
            <w:r w:rsidR="00F103E5" w:rsidRPr="00E44364">
              <w:rPr>
                <w:rFonts w:ascii="Century Gothic" w:hAnsi="Century Gothic"/>
                <w:b/>
                <w:color w:val="000000" w:themeColor="text1"/>
                <w:sz w:val="16"/>
                <w:szCs w:val="16"/>
                <w:lang w:val="es-MX"/>
              </w:rPr>
              <w:t>20</w:t>
            </w:r>
          </w:p>
        </w:tc>
        <w:tc>
          <w:tcPr>
            <w:tcW w:w="982" w:type="pct"/>
            <w:tcBorders>
              <w:top w:val="single" w:sz="8" w:space="0" w:color="auto"/>
              <w:left w:val="nil"/>
              <w:bottom w:val="single" w:sz="4" w:space="0" w:color="auto"/>
              <w:right w:val="single" w:sz="8" w:space="0" w:color="auto"/>
            </w:tcBorders>
            <w:shd w:val="clear" w:color="auto" w:fill="FABF8F" w:themeFill="accent6" w:themeFillTint="99"/>
            <w:vAlign w:val="center"/>
            <w:hideMark/>
          </w:tcPr>
          <w:p w:rsidR="00645B25" w:rsidRPr="00E44364" w:rsidRDefault="00645B25" w:rsidP="00645B25">
            <w:pPr>
              <w:jc w:val="center"/>
              <w:rPr>
                <w:rFonts w:ascii="Century Gothic" w:eastAsia="Times New Roman" w:hAnsi="Century Gothic" w:cs="Arial"/>
                <w:b/>
                <w:bCs/>
                <w:color w:val="000000" w:themeColor="text1"/>
                <w:sz w:val="16"/>
                <w:szCs w:val="16"/>
                <w:highlight w:val="yellow"/>
                <w:lang w:val="es-MX"/>
              </w:rPr>
            </w:pPr>
            <w:r w:rsidRPr="00E44364">
              <w:rPr>
                <w:rFonts w:ascii="Century Gothic" w:hAnsi="Century Gothic"/>
                <w:b/>
                <w:color w:val="000000" w:themeColor="text1"/>
                <w:sz w:val="18"/>
                <w:szCs w:val="16"/>
                <w:lang w:val="es-MX"/>
              </w:rPr>
              <w:t>Presupuesto aprobado 202</w:t>
            </w:r>
            <w:r w:rsidR="00F103E5" w:rsidRPr="00E44364">
              <w:rPr>
                <w:rFonts w:ascii="Century Gothic" w:hAnsi="Century Gothic"/>
                <w:b/>
                <w:color w:val="000000" w:themeColor="text1"/>
                <w:sz w:val="18"/>
                <w:szCs w:val="16"/>
                <w:lang w:val="es-MX"/>
              </w:rPr>
              <w:t>1</w:t>
            </w:r>
          </w:p>
        </w:tc>
        <w:tc>
          <w:tcPr>
            <w:tcW w:w="982" w:type="pct"/>
            <w:tcBorders>
              <w:top w:val="single" w:sz="8" w:space="0" w:color="auto"/>
              <w:left w:val="nil"/>
              <w:bottom w:val="single" w:sz="4" w:space="0" w:color="auto"/>
              <w:right w:val="single" w:sz="8" w:space="0" w:color="auto"/>
            </w:tcBorders>
            <w:shd w:val="clear" w:color="auto" w:fill="FABF8F" w:themeFill="accent6" w:themeFillTint="99"/>
            <w:vAlign w:val="center"/>
          </w:tcPr>
          <w:p w:rsidR="00645B25" w:rsidRPr="00E44364" w:rsidRDefault="00645B25" w:rsidP="00645B25">
            <w:pPr>
              <w:jc w:val="center"/>
              <w:rPr>
                <w:rFonts w:ascii="Century Gothic" w:eastAsia="Times New Roman" w:hAnsi="Century Gothic" w:cs="Arial"/>
                <w:b/>
                <w:bCs/>
                <w:color w:val="000000" w:themeColor="text1"/>
                <w:sz w:val="16"/>
                <w:szCs w:val="16"/>
                <w:highlight w:val="yellow"/>
                <w:lang w:val="es-MX"/>
              </w:rPr>
            </w:pPr>
            <w:r w:rsidRPr="00E44364">
              <w:rPr>
                <w:rFonts w:ascii="Century Gothic" w:eastAsia="Times New Roman" w:hAnsi="Century Gothic" w:cs="Arial"/>
                <w:b/>
                <w:color w:val="000000" w:themeColor="text1"/>
                <w:sz w:val="18"/>
                <w:szCs w:val="16"/>
                <w:lang w:val="es-MX" w:eastAsia="es-MX"/>
              </w:rPr>
              <w:t>Proyecto de Presupuesto 202</w:t>
            </w:r>
            <w:r w:rsidR="00F103E5" w:rsidRPr="00E44364">
              <w:rPr>
                <w:rFonts w:ascii="Century Gothic" w:eastAsia="Times New Roman" w:hAnsi="Century Gothic" w:cs="Arial"/>
                <w:b/>
                <w:color w:val="000000" w:themeColor="text1"/>
                <w:sz w:val="18"/>
                <w:szCs w:val="16"/>
                <w:lang w:val="es-MX" w:eastAsia="es-MX"/>
              </w:rPr>
              <w:t>2</w:t>
            </w:r>
          </w:p>
        </w:tc>
        <w:tc>
          <w:tcPr>
            <w:tcW w:w="667" w:type="pct"/>
            <w:tcBorders>
              <w:top w:val="single" w:sz="8" w:space="0" w:color="auto"/>
              <w:left w:val="nil"/>
              <w:bottom w:val="single" w:sz="4" w:space="0" w:color="auto"/>
              <w:right w:val="single" w:sz="8" w:space="0" w:color="auto"/>
            </w:tcBorders>
            <w:shd w:val="clear" w:color="auto" w:fill="FABF8F" w:themeFill="accent6" w:themeFillTint="99"/>
            <w:vAlign w:val="center"/>
          </w:tcPr>
          <w:p w:rsidR="00645B25" w:rsidRPr="00E44364" w:rsidRDefault="00645B25" w:rsidP="00645B25">
            <w:pPr>
              <w:jc w:val="center"/>
              <w:rPr>
                <w:rFonts w:ascii="Century Gothic" w:eastAsia="Times New Roman" w:hAnsi="Century Gothic" w:cs="Arial"/>
                <w:b/>
                <w:bCs/>
                <w:color w:val="000000" w:themeColor="text1"/>
                <w:sz w:val="16"/>
                <w:szCs w:val="16"/>
                <w:highlight w:val="yellow"/>
                <w:lang w:val="es-MX" w:eastAsia="es-ES"/>
              </w:rPr>
            </w:pPr>
            <w:r w:rsidRPr="00E44364">
              <w:rPr>
                <w:rFonts w:ascii="Century Gothic" w:eastAsia="Times New Roman" w:hAnsi="Century Gothic" w:cs="Arial"/>
                <w:b/>
                <w:color w:val="000000" w:themeColor="text1"/>
                <w:sz w:val="16"/>
                <w:szCs w:val="16"/>
                <w:lang w:val="es-MX" w:eastAsia="es-MX"/>
              </w:rPr>
              <w:t>Tasa de Crecimiento (TdC) 202</w:t>
            </w:r>
            <w:r w:rsidR="00F103E5" w:rsidRPr="00E44364">
              <w:rPr>
                <w:rFonts w:ascii="Century Gothic" w:eastAsia="Times New Roman" w:hAnsi="Century Gothic" w:cs="Arial"/>
                <w:b/>
                <w:color w:val="000000" w:themeColor="text1"/>
                <w:sz w:val="16"/>
                <w:szCs w:val="16"/>
                <w:lang w:val="es-MX" w:eastAsia="es-MX"/>
              </w:rPr>
              <w:t>2</w:t>
            </w:r>
            <w:r w:rsidRPr="00E44364">
              <w:rPr>
                <w:rFonts w:ascii="Century Gothic" w:eastAsia="Times New Roman" w:hAnsi="Century Gothic" w:cs="Arial"/>
                <w:b/>
                <w:color w:val="000000" w:themeColor="text1"/>
                <w:sz w:val="16"/>
                <w:szCs w:val="16"/>
                <w:lang w:val="es-MX" w:eastAsia="es-MX"/>
              </w:rPr>
              <w:t xml:space="preserve"> respecto 202</w:t>
            </w:r>
            <w:r w:rsidR="00F103E5" w:rsidRPr="00E44364">
              <w:rPr>
                <w:rFonts w:ascii="Century Gothic" w:eastAsia="Times New Roman" w:hAnsi="Century Gothic" w:cs="Arial"/>
                <w:b/>
                <w:color w:val="000000" w:themeColor="text1"/>
                <w:sz w:val="16"/>
                <w:szCs w:val="16"/>
                <w:lang w:val="es-MX" w:eastAsia="es-MX"/>
              </w:rPr>
              <w:t>1</w:t>
            </w:r>
          </w:p>
        </w:tc>
      </w:tr>
      <w:tr w:rsidR="006E4F2B" w:rsidRPr="0050035B" w:rsidTr="006E4F2B">
        <w:trPr>
          <w:trHeight w:val="556"/>
        </w:trPr>
        <w:tc>
          <w:tcPr>
            <w:tcW w:w="1263" w:type="pct"/>
            <w:tcBorders>
              <w:top w:val="nil"/>
              <w:left w:val="single" w:sz="8" w:space="0" w:color="auto"/>
              <w:bottom w:val="single" w:sz="4" w:space="0" w:color="auto"/>
              <w:right w:val="single" w:sz="4" w:space="0" w:color="auto"/>
            </w:tcBorders>
            <w:shd w:val="clear" w:color="auto" w:fill="595959" w:themeFill="text1" w:themeFillTint="A6"/>
            <w:noWrap/>
            <w:vAlign w:val="center"/>
            <w:hideMark/>
          </w:tcPr>
          <w:p w:rsidR="006E4F2B" w:rsidRPr="0050035B" w:rsidRDefault="006E4F2B" w:rsidP="006E4F2B">
            <w:pPr>
              <w:jc w:val="center"/>
              <w:rPr>
                <w:rFonts w:ascii="Century Gothic" w:eastAsia="Times New Roman" w:hAnsi="Century Gothic" w:cs="Arial"/>
                <w:b/>
                <w:color w:val="FFFFFF" w:themeColor="background1"/>
                <w:sz w:val="18"/>
                <w:szCs w:val="18"/>
                <w:lang w:val="es-MX"/>
              </w:rPr>
            </w:pPr>
            <w:r>
              <w:rPr>
                <w:rFonts w:ascii="Century Gothic" w:hAnsi="Century Gothic" w:cs="Calibri"/>
                <w:b/>
                <w:bCs/>
                <w:color w:val="FFFFFF"/>
                <w:sz w:val="18"/>
                <w:szCs w:val="18"/>
              </w:rPr>
              <w:t>Participaciones</w:t>
            </w:r>
          </w:p>
        </w:tc>
        <w:tc>
          <w:tcPr>
            <w:tcW w:w="1105" w:type="pct"/>
            <w:tcBorders>
              <w:top w:val="nil"/>
              <w:left w:val="nil"/>
              <w:bottom w:val="single" w:sz="4" w:space="0" w:color="auto"/>
              <w:right w:val="single" w:sz="4" w:space="0" w:color="auto"/>
            </w:tcBorders>
            <w:shd w:val="clear" w:color="auto" w:fill="auto"/>
            <w:noWrap/>
            <w:vAlign w:val="center"/>
          </w:tcPr>
          <w:p w:rsidR="006E4F2B" w:rsidRPr="0050035B" w:rsidRDefault="006E4F2B" w:rsidP="006E4F2B">
            <w:pPr>
              <w:jc w:val="right"/>
              <w:rPr>
                <w:rFonts w:ascii="Century Gothic" w:eastAsia="Times New Roman" w:hAnsi="Century Gothic" w:cs="Arial"/>
                <w:strike/>
                <w:color w:val="000000"/>
                <w:sz w:val="16"/>
                <w:szCs w:val="16"/>
                <w:highlight w:val="yellow"/>
                <w:lang w:val="es-MX"/>
              </w:rPr>
            </w:pPr>
            <w:r>
              <w:rPr>
                <w:rFonts w:ascii="Century Gothic" w:hAnsi="Century Gothic" w:cs="Calibri"/>
                <w:color w:val="000000"/>
                <w:sz w:val="18"/>
                <w:szCs w:val="18"/>
              </w:rPr>
              <w:t>$2,482,195,442.04</w:t>
            </w:r>
          </w:p>
        </w:tc>
        <w:tc>
          <w:tcPr>
            <w:tcW w:w="982" w:type="pct"/>
            <w:tcBorders>
              <w:top w:val="nil"/>
              <w:left w:val="nil"/>
              <w:bottom w:val="single" w:sz="4" w:space="0" w:color="auto"/>
              <w:right w:val="single" w:sz="8" w:space="0" w:color="auto"/>
            </w:tcBorders>
            <w:shd w:val="clear" w:color="auto" w:fill="auto"/>
            <w:noWrap/>
            <w:vAlign w:val="center"/>
          </w:tcPr>
          <w:p w:rsidR="006E4F2B" w:rsidRPr="0050035B" w:rsidRDefault="006E4F2B" w:rsidP="006E4F2B">
            <w:pPr>
              <w:jc w:val="right"/>
              <w:rPr>
                <w:rFonts w:ascii="Century Gothic" w:eastAsia="Times New Roman" w:hAnsi="Century Gothic" w:cs="Arial"/>
                <w:strike/>
                <w:color w:val="000000"/>
                <w:sz w:val="16"/>
                <w:szCs w:val="16"/>
                <w:highlight w:val="yellow"/>
                <w:lang w:val="es-MX"/>
              </w:rPr>
            </w:pPr>
            <w:r>
              <w:rPr>
                <w:rFonts w:ascii="Century Gothic" w:hAnsi="Century Gothic" w:cs="Calibri"/>
                <w:color w:val="000000"/>
                <w:sz w:val="18"/>
                <w:szCs w:val="18"/>
              </w:rPr>
              <w:t>$2,465,622,189.07</w:t>
            </w:r>
          </w:p>
        </w:tc>
        <w:tc>
          <w:tcPr>
            <w:tcW w:w="982" w:type="pct"/>
            <w:tcBorders>
              <w:top w:val="nil"/>
              <w:left w:val="nil"/>
              <w:bottom w:val="single" w:sz="4" w:space="0" w:color="auto"/>
              <w:right w:val="single" w:sz="8" w:space="0" w:color="auto"/>
            </w:tcBorders>
            <w:vAlign w:val="center"/>
          </w:tcPr>
          <w:p w:rsidR="006E4F2B" w:rsidRPr="0050035B" w:rsidRDefault="006E4F2B" w:rsidP="006E4F2B">
            <w:pPr>
              <w:jc w:val="center"/>
              <w:rPr>
                <w:rFonts w:ascii="Century Gothic" w:eastAsia="Times New Roman" w:hAnsi="Century Gothic" w:cs="Arial"/>
                <w:strike/>
                <w:color w:val="000000"/>
                <w:sz w:val="16"/>
                <w:szCs w:val="16"/>
                <w:highlight w:val="yellow"/>
                <w:lang w:val="es-MX"/>
              </w:rPr>
            </w:pPr>
            <w:r>
              <w:rPr>
                <w:rFonts w:ascii="Century Gothic" w:hAnsi="Century Gothic" w:cs="Calibri"/>
                <w:color w:val="000000"/>
                <w:sz w:val="18"/>
                <w:szCs w:val="18"/>
              </w:rPr>
              <w:t>$2,622,931,385.48</w:t>
            </w:r>
          </w:p>
        </w:tc>
        <w:tc>
          <w:tcPr>
            <w:tcW w:w="667" w:type="pct"/>
            <w:tcBorders>
              <w:top w:val="nil"/>
              <w:left w:val="nil"/>
              <w:bottom w:val="single" w:sz="4" w:space="0" w:color="auto"/>
              <w:right w:val="single" w:sz="8" w:space="0" w:color="auto"/>
            </w:tcBorders>
            <w:vAlign w:val="center"/>
          </w:tcPr>
          <w:p w:rsidR="006E4F2B" w:rsidRPr="006E4F2B" w:rsidRDefault="006E4F2B" w:rsidP="006E4F2B">
            <w:pPr>
              <w:jc w:val="center"/>
              <w:rPr>
                <w:rFonts w:ascii="Century Gothic" w:hAnsi="Century Gothic" w:cs="Calibri"/>
                <w:color w:val="000000"/>
                <w:sz w:val="18"/>
                <w:szCs w:val="18"/>
              </w:rPr>
            </w:pPr>
            <w:r w:rsidRPr="006E4F2B">
              <w:rPr>
                <w:rFonts w:ascii="Century Gothic" w:hAnsi="Century Gothic" w:cs="Calibri"/>
                <w:color w:val="000000"/>
                <w:sz w:val="18"/>
                <w:szCs w:val="18"/>
              </w:rPr>
              <w:t>6.38%</w:t>
            </w:r>
          </w:p>
        </w:tc>
      </w:tr>
      <w:tr w:rsidR="006E4F2B" w:rsidRPr="0050035B" w:rsidTr="006E4F2B">
        <w:trPr>
          <w:trHeight w:val="550"/>
        </w:trPr>
        <w:tc>
          <w:tcPr>
            <w:tcW w:w="1263" w:type="pct"/>
            <w:tcBorders>
              <w:top w:val="nil"/>
              <w:left w:val="single" w:sz="8" w:space="0" w:color="auto"/>
              <w:bottom w:val="single" w:sz="4" w:space="0" w:color="auto"/>
              <w:right w:val="single" w:sz="4" w:space="0" w:color="auto"/>
            </w:tcBorders>
            <w:shd w:val="clear" w:color="auto" w:fill="595959" w:themeFill="text1" w:themeFillTint="A6"/>
            <w:noWrap/>
            <w:vAlign w:val="center"/>
          </w:tcPr>
          <w:p w:rsidR="006E4F2B" w:rsidRPr="00F103E5" w:rsidRDefault="006E4F2B" w:rsidP="006E4F2B">
            <w:pPr>
              <w:jc w:val="center"/>
              <w:rPr>
                <w:rFonts w:ascii="Century Gothic" w:hAnsi="Century Gothic" w:cs="Calibri"/>
                <w:b/>
                <w:bCs/>
                <w:color w:val="FFFFFF"/>
                <w:sz w:val="18"/>
                <w:szCs w:val="18"/>
              </w:rPr>
            </w:pPr>
            <w:r>
              <w:rPr>
                <w:rFonts w:ascii="Century Gothic" w:hAnsi="Century Gothic" w:cs="Calibri"/>
                <w:b/>
                <w:bCs/>
                <w:color w:val="FFFFFF"/>
                <w:sz w:val="18"/>
                <w:szCs w:val="18"/>
              </w:rPr>
              <w:t>Aportaciones</w:t>
            </w:r>
          </w:p>
        </w:tc>
        <w:tc>
          <w:tcPr>
            <w:tcW w:w="1105" w:type="pct"/>
            <w:tcBorders>
              <w:top w:val="nil"/>
              <w:left w:val="nil"/>
              <w:bottom w:val="single" w:sz="8" w:space="0" w:color="auto"/>
              <w:right w:val="single" w:sz="4" w:space="0" w:color="auto"/>
            </w:tcBorders>
            <w:shd w:val="clear" w:color="auto" w:fill="auto"/>
            <w:noWrap/>
            <w:vAlign w:val="center"/>
          </w:tcPr>
          <w:p w:rsidR="006E4F2B" w:rsidRPr="0050035B" w:rsidRDefault="006E4F2B" w:rsidP="006E4F2B">
            <w:pPr>
              <w:jc w:val="right"/>
              <w:rPr>
                <w:rFonts w:ascii="Century Gothic" w:eastAsia="Times New Roman" w:hAnsi="Century Gothic" w:cs="Arial"/>
                <w:strike/>
                <w:color w:val="000000"/>
                <w:sz w:val="16"/>
                <w:szCs w:val="16"/>
                <w:highlight w:val="yellow"/>
                <w:lang w:val="es-MX"/>
              </w:rPr>
            </w:pPr>
            <w:r>
              <w:rPr>
                <w:rFonts w:ascii="Century Gothic" w:hAnsi="Century Gothic" w:cs="Calibri"/>
                <w:color w:val="000000"/>
                <w:sz w:val="18"/>
                <w:szCs w:val="18"/>
              </w:rPr>
              <w:t>$926,224,278.62</w:t>
            </w:r>
          </w:p>
        </w:tc>
        <w:tc>
          <w:tcPr>
            <w:tcW w:w="982" w:type="pct"/>
            <w:tcBorders>
              <w:top w:val="nil"/>
              <w:left w:val="nil"/>
              <w:bottom w:val="single" w:sz="8" w:space="0" w:color="auto"/>
              <w:right w:val="single" w:sz="8" w:space="0" w:color="auto"/>
            </w:tcBorders>
            <w:shd w:val="clear" w:color="auto" w:fill="auto"/>
            <w:noWrap/>
            <w:vAlign w:val="center"/>
          </w:tcPr>
          <w:p w:rsidR="006E4F2B" w:rsidRPr="0050035B" w:rsidRDefault="006E4F2B" w:rsidP="006E4F2B">
            <w:pPr>
              <w:jc w:val="right"/>
              <w:rPr>
                <w:rFonts w:ascii="Century Gothic" w:eastAsia="Times New Roman" w:hAnsi="Century Gothic" w:cs="Arial"/>
                <w:strike/>
                <w:color w:val="000000"/>
                <w:sz w:val="16"/>
                <w:szCs w:val="16"/>
                <w:highlight w:val="yellow"/>
                <w:lang w:val="es-MX"/>
              </w:rPr>
            </w:pPr>
            <w:r>
              <w:rPr>
                <w:rFonts w:ascii="Century Gothic" w:hAnsi="Century Gothic" w:cs="Calibri"/>
                <w:color w:val="000000"/>
                <w:sz w:val="18"/>
                <w:szCs w:val="18"/>
              </w:rPr>
              <w:t>$948,289,406.64</w:t>
            </w:r>
          </w:p>
        </w:tc>
        <w:tc>
          <w:tcPr>
            <w:tcW w:w="982" w:type="pct"/>
            <w:tcBorders>
              <w:top w:val="nil"/>
              <w:left w:val="nil"/>
              <w:bottom w:val="single" w:sz="8" w:space="0" w:color="auto"/>
              <w:right w:val="single" w:sz="8" w:space="0" w:color="auto"/>
            </w:tcBorders>
            <w:vAlign w:val="center"/>
          </w:tcPr>
          <w:p w:rsidR="006E4F2B" w:rsidRPr="0050035B" w:rsidRDefault="006E4F2B" w:rsidP="006E4F2B">
            <w:pPr>
              <w:jc w:val="center"/>
              <w:rPr>
                <w:rFonts w:ascii="Century Gothic" w:eastAsia="Times New Roman" w:hAnsi="Century Gothic" w:cs="Arial"/>
                <w:strike/>
                <w:color w:val="000000"/>
                <w:sz w:val="16"/>
                <w:szCs w:val="16"/>
                <w:highlight w:val="yellow"/>
                <w:lang w:val="es-MX"/>
              </w:rPr>
            </w:pPr>
            <w:r>
              <w:rPr>
                <w:rFonts w:ascii="Century Gothic" w:hAnsi="Century Gothic" w:cs="Calibri"/>
                <w:color w:val="000000"/>
                <w:sz w:val="18"/>
                <w:szCs w:val="18"/>
              </w:rPr>
              <w:t>$871,492,539.91</w:t>
            </w:r>
          </w:p>
        </w:tc>
        <w:tc>
          <w:tcPr>
            <w:tcW w:w="667" w:type="pct"/>
            <w:tcBorders>
              <w:top w:val="nil"/>
              <w:left w:val="nil"/>
              <w:bottom w:val="single" w:sz="8" w:space="0" w:color="auto"/>
              <w:right w:val="single" w:sz="8" w:space="0" w:color="auto"/>
            </w:tcBorders>
            <w:vAlign w:val="center"/>
          </w:tcPr>
          <w:p w:rsidR="006E4F2B" w:rsidRPr="006E4F2B" w:rsidRDefault="006E4F2B" w:rsidP="006E4F2B">
            <w:pPr>
              <w:jc w:val="center"/>
              <w:rPr>
                <w:rFonts w:ascii="Century Gothic" w:hAnsi="Century Gothic" w:cs="Calibri"/>
                <w:color w:val="000000"/>
                <w:sz w:val="18"/>
                <w:szCs w:val="18"/>
              </w:rPr>
            </w:pPr>
            <w:r w:rsidRPr="006E4F2B">
              <w:rPr>
                <w:rFonts w:ascii="Century Gothic" w:hAnsi="Century Gothic" w:cs="Calibri"/>
                <w:color w:val="000000"/>
                <w:sz w:val="18"/>
                <w:szCs w:val="18"/>
              </w:rPr>
              <w:t>-8.10%</w:t>
            </w:r>
          </w:p>
        </w:tc>
      </w:tr>
      <w:tr w:rsidR="005606EA" w:rsidRPr="0050035B" w:rsidTr="005606EA">
        <w:trPr>
          <w:trHeight w:val="550"/>
        </w:trPr>
        <w:tc>
          <w:tcPr>
            <w:tcW w:w="1263" w:type="pct"/>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tcPr>
          <w:p w:rsidR="005606EA" w:rsidRPr="00F103E5" w:rsidRDefault="005606EA" w:rsidP="005606EA">
            <w:pPr>
              <w:jc w:val="center"/>
              <w:rPr>
                <w:rFonts w:ascii="Century Gothic" w:hAnsi="Century Gothic" w:cs="Calibri"/>
                <w:b/>
                <w:bCs/>
                <w:color w:val="FFFFFF"/>
                <w:sz w:val="18"/>
                <w:szCs w:val="18"/>
              </w:rPr>
            </w:pPr>
            <w:r>
              <w:rPr>
                <w:rFonts w:ascii="Century Gothic" w:hAnsi="Century Gothic" w:cs="Calibri"/>
                <w:b/>
                <w:bCs/>
                <w:color w:val="FFFFFF"/>
                <w:sz w:val="18"/>
                <w:szCs w:val="18"/>
              </w:rPr>
              <w:t>Convenios</w:t>
            </w:r>
          </w:p>
        </w:tc>
        <w:tc>
          <w:tcPr>
            <w:tcW w:w="1105" w:type="pct"/>
            <w:tcBorders>
              <w:top w:val="nil"/>
              <w:left w:val="single" w:sz="4" w:space="0" w:color="auto"/>
              <w:bottom w:val="single" w:sz="8" w:space="0" w:color="auto"/>
              <w:right w:val="single" w:sz="4" w:space="0" w:color="auto"/>
            </w:tcBorders>
            <w:shd w:val="clear" w:color="auto" w:fill="auto"/>
            <w:noWrap/>
            <w:vAlign w:val="center"/>
          </w:tcPr>
          <w:p w:rsidR="005606EA" w:rsidRPr="0050035B" w:rsidRDefault="005606EA" w:rsidP="005606EA">
            <w:pPr>
              <w:jc w:val="right"/>
              <w:rPr>
                <w:rFonts w:ascii="Century Gothic" w:hAnsi="Century Gothic" w:cs="Calibri"/>
                <w:color w:val="000000"/>
                <w:sz w:val="18"/>
                <w:szCs w:val="18"/>
                <w:lang w:val="es-MX"/>
              </w:rPr>
            </w:pPr>
            <w:r>
              <w:rPr>
                <w:rFonts w:ascii="Century Gothic" w:hAnsi="Century Gothic" w:cs="Calibri"/>
                <w:color w:val="000000"/>
                <w:sz w:val="18"/>
                <w:szCs w:val="18"/>
              </w:rPr>
              <w:t>$0.00</w:t>
            </w:r>
          </w:p>
        </w:tc>
        <w:tc>
          <w:tcPr>
            <w:tcW w:w="982" w:type="pct"/>
            <w:tcBorders>
              <w:top w:val="nil"/>
              <w:left w:val="nil"/>
              <w:bottom w:val="single" w:sz="8" w:space="0" w:color="auto"/>
              <w:right w:val="single" w:sz="8" w:space="0" w:color="auto"/>
            </w:tcBorders>
            <w:shd w:val="clear" w:color="auto" w:fill="auto"/>
            <w:noWrap/>
            <w:vAlign w:val="center"/>
          </w:tcPr>
          <w:p w:rsidR="005606EA" w:rsidRPr="0050035B" w:rsidRDefault="005606EA" w:rsidP="005606EA">
            <w:pPr>
              <w:jc w:val="right"/>
              <w:rPr>
                <w:rFonts w:ascii="Century Gothic" w:hAnsi="Century Gothic" w:cs="Calibri"/>
                <w:color w:val="000000"/>
                <w:sz w:val="18"/>
                <w:szCs w:val="18"/>
                <w:lang w:val="es-MX"/>
              </w:rPr>
            </w:pPr>
            <w:r>
              <w:rPr>
                <w:rFonts w:ascii="Century Gothic" w:hAnsi="Century Gothic" w:cs="Calibri"/>
                <w:color w:val="000000"/>
                <w:sz w:val="18"/>
                <w:szCs w:val="18"/>
              </w:rPr>
              <w:t>$0.00</w:t>
            </w:r>
          </w:p>
        </w:tc>
        <w:tc>
          <w:tcPr>
            <w:tcW w:w="982" w:type="pct"/>
            <w:tcBorders>
              <w:top w:val="nil"/>
              <w:left w:val="nil"/>
              <w:bottom w:val="single" w:sz="8" w:space="0" w:color="auto"/>
              <w:right w:val="single" w:sz="8" w:space="0" w:color="auto"/>
            </w:tcBorders>
            <w:vAlign w:val="center"/>
          </w:tcPr>
          <w:p w:rsidR="005606EA" w:rsidRPr="0050035B" w:rsidRDefault="005606EA" w:rsidP="005606EA">
            <w:pPr>
              <w:jc w:val="center"/>
              <w:rPr>
                <w:rFonts w:ascii="Century Gothic" w:hAnsi="Century Gothic" w:cs="Calibri"/>
                <w:color w:val="000000"/>
                <w:sz w:val="18"/>
                <w:szCs w:val="18"/>
                <w:lang w:val="es-MX"/>
              </w:rPr>
            </w:pPr>
            <w:r>
              <w:rPr>
                <w:rFonts w:ascii="Century Gothic" w:hAnsi="Century Gothic" w:cs="Calibri"/>
                <w:color w:val="000000"/>
                <w:sz w:val="18"/>
                <w:szCs w:val="18"/>
              </w:rPr>
              <w:t>$60,000,000.00</w:t>
            </w:r>
          </w:p>
        </w:tc>
        <w:tc>
          <w:tcPr>
            <w:tcW w:w="667" w:type="pct"/>
            <w:tcBorders>
              <w:top w:val="nil"/>
              <w:left w:val="nil"/>
              <w:bottom w:val="single" w:sz="8" w:space="0" w:color="auto"/>
              <w:right w:val="single" w:sz="8" w:space="0" w:color="auto"/>
            </w:tcBorders>
            <w:vAlign w:val="center"/>
          </w:tcPr>
          <w:p w:rsidR="005606EA" w:rsidRPr="0050035B" w:rsidRDefault="005606EA" w:rsidP="005606EA">
            <w:pPr>
              <w:jc w:val="center"/>
              <w:rPr>
                <w:rFonts w:ascii="Century Gothic" w:hAnsi="Century Gothic" w:cs="Calibri"/>
                <w:color w:val="000000"/>
                <w:sz w:val="18"/>
                <w:szCs w:val="18"/>
                <w:lang w:val="es-MX"/>
              </w:rPr>
            </w:pPr>
            <w:r>
              <w:rPr>
                <w:rFonts w:ascii="Century Gothic" w:hAnsi="Century Gothic" w:cs="Calibri"/>
                <w:color w:val="000000"/>
                <w:sz w:val="18"/>
                <w:szCs w:val="18"/>
              </w:rPr>
              <w:t>0.00%</w:t>
            </w:r>
          </w:p>
        </w:tc>
      </w:tr>
      <w:tr w:rsidR="005606EA" w:rsidRPr="0050035B" w:rsidTr="005606EA">
        <w:trPr>
          <w:trHeight w:val="550"/>
        </w:trPr>
        <w:tc>
          <w:tcPr>
            <w:tcW w:w="1263" w:type="pct"/>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tcPr>
          <w:p w:rsidR="005606EA" w:rsidRDefault="005606EA" w:rsidP="005606EA">
            <w:pPr>
              <w:jc w:val="center"/>
              <w:rPr>
                <w:rFonts w:ascii="Century Gothic" w:hAnsi="Century Gothic" w:cs="Calibri"/>
                <w:b/>
                <w:bCs/>
                <w:color w:val="FFFFFF"/>
                <w:sz w:val="18"/>
                <w:szCs w:val="18"/>
              </w:rPr>
            </w:pPr>
            <w:r>
              <w:rPr>
                <w:rFonts w:ascii="Century Gothic" w:hAnsi="Century Gothic" w:cs="Calibri"/>
                <w:b/>
                <w:bCs/>
                <w:color w:val="FFFFFF"/>
                <w:sz w:val="18"/>
                <w:szCs w:val="18"/>
              </w:rPr>
              <w:t xml:space="preserve">Incentivos de </w:t>
            </w:r>
          </w:p>
          <w:p w:rsidR="005606EA" w:rsidRPr="00F103E5" w:rsidRDefault="005606EA" w:rsidP="005606EA">
            <w:pPr>
              <w:jc w:val="center"/>
              <w:rPr>
                <w:rFonts w:ascii="Century Gothic" w:hAnsi="Century Gothic" w:cs="Calibri"/>
                <w:b/>
                <w:bCs/>
                <w:color w:val="FFFFFF"/>
                <w:sz w:val="18"/>
                <w:szCs w:val="18"/>
              </w:rPr>
            </w:pPr>
            <w:r>
              <w:rPr>
                <w:rFonts w:ascii="Century Gothic" w:hAnsi="Century Gothic" w:cs="Calibri"/>
                <w:b/>
                <w:bCs/>
                <w:color w:val="FFFFFF"/>
                <w:sz w:val="18"/>
                <w:szCs w:val="18"/>
              </w:rPr>
              <w:t>Colaboración Fiscal</w:t>
            </w:r>
          </w:p>
        </w:tc>
        <w:tc>
          <w:tcPr>
            <w:tcW w:w="1105" w:type="pct"/>
            <w:tcBorders>
              <w:top w:val="nil"/>
              <w:left w:val="single" w:sz="4" w:space="0" w:color="auto"/>
              <w:bottom w:val="single" w:sz="8" w:space="0" w:color="auto"/>
              <w:right w:val="single" w:sz="4" w:space="0" w:color="auto"/>
            </w:tcBorders>
            <w:shd w:val="clear" w:color="auto" w:fill="auto"/>
            <w:noWrap/>
            <w:vAlign w:val="center"/>
          </w:tcPr>
          <w:p w:rsidR="005606EA" w:rsidRPr="0050035B" w:rsidRDefault="005606EA" w:rsidP="005606EA">
            <w:pPr>
              <w:jc w:val="right"/>
              <w:rPr>
                <w:rFonts w:ascii="Century Gothic" w:hAnsi="Century Gothic" w:cs="Calibri"/>
                <w:color w:val="000000"/>
                <w:sz w:val="18"/>
                <w:szCs w:val="18"/>
                <w:lang w:val="es-MX"/>
              </w:rPr>
            </w:pPr>
            <w:r>
              <w:rPr>
                <w:rFonts w:ascii="Century Gothic" w:hAnsi="Century Gothic" w:cs="Calibri"/>
                <w:color w:val="000000"/>
                <w:sz w:val="18"/>
                <w:szCs w:val="18"/>
              </w:rPr>
              <w:t>$0.00</w:t>
            </w:r>
          </w:p>
        </w:tc>
        <w:tc>
          <w:tcPr>
            <w:tcW w:w="982" w:type="pct"/>
            <w:tcBorders>
              <w:top w:val="nil"/>
              <w:left w:val="nil"/>
              <w:bottom w:val="single" w:sz="8" w:space="0" w:color="auto"/>
              <w:right w:val="single" w:sz="8" w:space="0" w:color="auto"/>
            </w:tcBorders>
            <w:shd w:val="clear" w:color="auto" w:fill="auto"/>
            <w:noWrap/>
            <w:vAlign w:val="center"/>
          </w:tcPr>
          <w:p w:rsidR="005606EA" w:rsidRPr="0050035B" w:rsidRDefault="005606EA" w:rsidP="005606EA">
            <w:pPr>
              <w:jc w:val="right"/>
              <w:rPr>
                <w:rFonts w:ascii="Century Gothic" w:hAnsi="Century Gothic" w:cs="Calibri"/>
                <w:color w:val="000000"/>
                <w:sz w:val="18"/>
                <w:szCs w:val="18"/>
                <w:lang w:val="es-MX"/>
              </w:rPr>
            </w:pPr>
            <w:r>
              <w:rPr>
                <w:rFonts w:ascii="Century Gothic" w:hAnsi="Century Gothic" w:cs="Calibri"/>
                <w:color w:val="000000"/>
                <w:sz w:val="18"/>
                <w:szCs w:val="18"/>
              </w:rPr>
              <w:t>$0.00</w:t>
            </w:r>
          </w:p>
        </w:tc>
        <w:tc>
          <w:tcPr>
            <w:tcW w:w="982" w:type="pct"/>
            <w:tcBorders>
              <w:top w:val="nil"/>
              <w:left w:val="nil"/>
              <w:bottom w:val="single" w:sz="8" w:space="0" w:color="auto"/>
              <w:right w:val="single" w:sz="8" w:space="0" w:color="auto"/>
            </w:tcBorders>
            <w:vAlign w:val="center"/>
          </w:tcPr>
          <w:p w:rsidR="005606EA" w:rsidRPr="0050035B" w:rsidRDefault="005606EA" w:rsidP="005606EA">
            <w:pPr>
              <w:jc w:val="center"/>
              <w:rPr>
                <w:rFonts w:ascii="Century Gothic" w:hAnsi="Century Gothic" w:cs="Calibri"/>
                <w:color w:val="000000"/>
                <w:sz w:val="18"/>
                <w:szCs w:val="18"/>
                <w:lang w:val="es-MX"/>
              </w:rPr>
            </w:pPr>
            <w:r>
              <w:rPr>
                <w:rFonts w:ascii="Century Gothic" w:hAnsi="Century Gothic" w:cs="Calibri"/>
                <w:color w:val="000000"/>
                <w:sz w:val="18"/>
                <w:szCs w:val="18"/>
              </w:rPr>
              <w:t>$58,186,448.66</w:t>
            </w:r>
          </w:p>
        </w:tc>
        <w:tc>
          <w:tcPr>
            <w:tcW w:w="667" w:type="pct"/>
            <w:tcBorders>
              <w:top w:val="nil"/>
              <w:left w:val="nil"/>
              <w:bottom w:val="single" w:sz="8" w:space="0" w:color="auto"/>
              <w:right w:val="single" w:sz="8" w:space="0" w:color="auto"/>
            </w:tcBorders>
            <w:vAlign w:val="center"/>
          </w:tcPr>
          <w:p w:rsidR="005606EA" w:rsidRPr="0050035B" w:rsidRDefault="005606EA" w:rsidP="005606EA">
            <w:pPr>
              <w:jc w:val="center"/>
              <w:rPr>
                <w:rFonts w:ascii="Century Gothic" w:hAnsi="Century Gothic" w:cs="Calibri"/>
                <w:color w:val="000000"/>
                <w:sz w:val="18"/>
                <w:szCs w:val="18"/>
                <w:lang w:val="es-MX"/>
              </w:rPr>
            </w:pPr>
            <w:r>
              <w:rPr>
                <w:rFonts w:ascii="Century Gothic" w:hAnsi="Century Gothic" w:cs="Calibri"/>
                <w:color w:val="000000"/>
                <w:sz w:val="18"/>
                <w:szCs w:val="18"/>
              </w:rPr>
              <w:t>0.00%</w:t>
            </w:r>
          </w:p>
        </w:tc>
      </w:tr>
      <w:tr w:rsidR="005606EA" w:rsidRPr="0050035B" w:rsidTr="005606EA">
        <w:trPr>
          <w:trHeight w:val="550"/>
        </w:trPr>
        <w:tc>
          <w:tcPr>
            <w:tcW w:w="1263" w:type="pct"/>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tcPr>
          <w:p w:rsidR="005606EA" w:rsidRPr="00F103E5" w:rsidRDefault="005606EA" w:rsidP="005606EA">
            <w:pPr>
              <w:jc w:val="center"/>
              <w:rPr>
                <w:rFonts w:ascii="Century Gothic" w:hAnsi="Century Gothic" w:cs="Calibri"/>
                <w:b/>
                <w:bCs/>
                <w:color w:val="FFFFFF"/>
                <w:sz w:val="18"/>
                <w:szCs w:val="18"/>
              </w:rPr>
            </w:pPr>
            <w:r>
              <w:rPr>
                <w:rFonts w:ascii="Century Gothic" w:hAnsi="Century Gothic" w:cs="Calibri"/>
                <w:b/>
                <w:bCs/>
                <w:color w:val="FFFFFF"/>
                <w:sz w:val="18"/>
                <w:szCs w:val="18"/>
              </w:rPr>
              <w:t>Total</w:t>
            </w:r>
          </w:p>
        </w:tc>
        <w:tc>
          <w:tcPr>
            <w:tcW w:w="1105" w:type="pct"/>
            <w:tcBorders>
              <w:top w:val="nil"/>
              <w:left w:val="single" w:sz="4" w:space="0" w:color="auto"/>
              <w:bottom w:val="single" w:sz="8" w:space="0" w:color="auto"/>
              <w:right w:val="single" w:sz="4" w:space="0" w:color="auto"/>
            </w:tcBorders>
            <w:shd w:val="clear" w:color="auto" w:fill="auto"/>
            <w:noWrap/>
            <w:vAlign w:val="center"/>
          </w:tcPr>
          <w:p w:rsidR="005606EA" w:rsidRPr="0050035B" w:rsidRDefault="005606EA" w:rsidP="005606EA">
            <w:pPr>
              <w:jc w:val="right"/>
              <w:rPr>
                <w:rFonts w:ascii="Century Gothic" w:eastAsia="Times New Roman" w:hAnsi="Century Gothic" w:cs="Arial"/>
                <w:b/>
                <w:strike/>
                <w:color w:val="000000"/>
                <w:sz w:val="16"/>
                <w:szCs w:val="16"/>
                <w:highlight w:val="yellow"/>
                <w:lang w:val="es-MX"/>
              </w:rPr>
            </w:pPr>
            <w:r>
              <w:rPr>
                <w:rFonts w:ascii="Century Gothic" w:hAnsi="Century Gothic" w:cs="Calibri"/>
                <w:b/>
                <w:bCs/>
                <w:color w:val="000000"/>
                <w:sz w:val="18"/>
                <w:szCs w:val="18"/>
              </w:rPr>
              <w:t>$3,408,419,720.66</w:t>
            </w:r>
          </w:p>
        </w:tc>
        <w:tc>
          <w:tcPr>
            <w:tcW w:w="982" w:type="pct"/>
            <w:tcBorders>
              <w:top w:val="nil"/>
              <w:left w:val="nil"/>
              <w:bottom w:val="single" w:sz="8" w:space="0" w:color="auto"/>
              <w:right w:val="single" w:sz="8" w:space="0" w:color="auto"/>
            </w:tcBorders>
            <w:shd w:val="clear" w:color="auto" w:fill="auto"/>
            <w:noWrap/>
            <w:vAlign w:val="center"/>
          </w:tcPr>
          <w:p w:rsidR="005606EA" w:rsidRPr="0050035B" w:rsidRDefault="005606EA" w:rsidP="005606EA">
            <w:pPr>
              <w:jc w:val="right"/>
              <w:rPr>
                <w:rFonts w:ascii="Century Gothic" w:eastAsia="Times New Roman" w:hAnsi="Century Gothic" w:cs="Arial"/>
                <w:b/>
                <w:strike/>
                <w:color w:val="000000"/>
                <w:sz w:val="16"/>
                <w:szCs w:val="16"/>
                <w:highlight w:val="yellow"/>
                <w:lang w:val="es-MX"/>
              </w:rPr>
            </w:pPr>
            <w:r>
              <w:rPr>
                <w:rFonts w:ascii="Century Gothic" w:hAnsi="Century Gothic" w:cs="Calibri"/>
                <w:b/>
                <w:bCs/>
                <w:color w:val="000000"/>
                <w:sz w:val="18"/>
                <w:szCs w:val="18"/>
              </w:rPr>
              <w:t>$3,413,911,595.71</w:t>
            </w:r>
          </w:p>
        </w:tc>
        <w:tc>
          <w:tcPr>
            <w:tcW w:w="982" w:type="pct"/>
            <w:tcBorders>
              <w:top w:val="nil"/>
              <w:left w:val="nil"/>
              <w:bottom w:val="single" w:sz="8" w:space="0" w:color="auto"/>
              <w:right w:val="single" w:sz="8" w:space="0" w:color="auto"/>
            </w:tcBorders>
            <w:vAlign w:val="center"/>
          </w:tcPr>
          <w:p w:rsidR="005606EA" w:rsidRPr="0050035B" w:rsidRDefault="005606EA" w:rsidP="005606EA">
            <w:pPr>
              <w:jc w:val="center"/>
              <w:rPr>
                <w:rFonts w:ascii="Century Gothic" w:eastAsia="Times New Roman" w:hAnsi="Century Gothic" w:cs="Arial"/>
                <w:b/>
                <w:strike/>
                <w:color w:val="000000"/>
                <w:sz w:val="16"/>
                <w:szCs w:val="16"/>
                <w:highlight w:val="yellow"/>
                <w:lang w:val="es-MX"/>
              </w:rPr>
            </w:pPr>
            <w:r>
              <w:rPr>
                <w:rFonts w:ascii="Century Gothic" w:hAnsi="Century Gothic" w:cs="Calibri"/>
                <w:b/>
                <w:bCs/>
                <w:color w:val="000000"/>
                <w:sz w:val="18"/>
                <w:szCs w:val="18"/>
              </w:rPr>
              <w:t>$3,612,610,374.05</w:t>
            </w:r>
          </w:p>
        </w:tc>
        <w:tc>
          <w:tcPr>
            <w:tcW w:w="667" w:type="pct"/>
            <w:tcBorders>
              <w:top w:val="nil"/>
              <w:left w:val="nil"/>
              <w:bottom w:val="single" w:sz="8" w:space="0" w:color="auto"/>
              <w:right w:val="single" w:sz="8" w:space="0" w:color="auto"/>
            </w:tcBorders>
            <w:vAlign w:val="center"/>
          </w:tcPr>
          <w:p w:rsidR="005606EA" w:rsidRPr="0050035B" w:rsidRDefault="005606EA" w:rsidP="005606EA">
            <w:pPr>
              <w:jc w:val="center"/>
              <w:rPr>
                <w:rFonts w:ascii="Century Gothic" w:eastAsia="Times New Roman" w:hAnsi="Century Gothic" w:cs="Arial"/>
                <w:b/>
                <w:strike/>
                <w:color w:val="000000"/>
                <w:sz w:val="16"/>
                <w:szCs w:val="16"/>
                <w:highlight w:val="yellow"/>
                <w:lang w:val="es-MX"/>
              </w:rPr>
            </w:pPr>
            <w:r>
              <w:rPr>
                <w:rFonts w:ascii="Century Gothic" w:hAnsi="Century Gothic" w:cs="Calibri"/>
                <w:b/>
                <w:bCs/>
                <w:color w:val="000000"/>
                <w:sz w:val="18"/>
                <w:szCs w:val="18"/>
              </w:rPr>
              <w:t>5.82%</w:t>
            </w:r>
          </w:p>
        </w:tc>
      </w:tr>
    </w:tbl>
    <w:p w:rsidR="0040670A" w:rsidRPr="0050035B" w:rsidRDefault="003A6064" w:rsidP="00DF31E3">
      <w:pPr>
        <w:ind w:firstLine="720"/>
        <w:jc w:val="both"/>
        <w:rPr>
          <w:rFonts w:ascii="Century Gothic" w:hAnsi="Century Gothic"/>
          <w:sz w:val="20"/>
          <w:szCs w:val="20"/>
          <w:lang w:val="es-MX"/>
        </w:rPr>
      </w:pPr>
      <w:r w:rsidRPr="0050035B">
        <w:rPr>
          <w:rFonts w:ascii="Century Gothic" w:hAnsi="Century Gothic"/>
          <w:sz w:val="20"/>
          <w:szCs w:val="20"/>
          <w:lang w:val="es-MX"/>
        </w:rPr>
        <w:t xml:space="preserve"> </w:t>
      </w:r>
      <w:r w:rsidR="0069500C" w:rsidRPr="0050035B">
        <w:rPr>
          <w:rFonts w:ascii="Century Gothic" w:hAnsi="Century Gothic"/>
          <w:b/>
          <w:sz w:val="20"/>
          <w:szCs w:val="20"/>
          <w:lang w:val="es-MX"/>
        </w:rPr>
        <w:t>Fuente</w:t>
      </w:r>
      <w:r w:rsidR="0069500C" w:rsidRPr="0050035B">
        <w:rPr>
          <w:rFonts w:ascii="Century Gothic" w:hAnsi="Century Gothic"/>
          <w:sz w:val="20"/>
          <w:szCs w:val="20"/>
          <w:lang w:val="es-MX"/>
        </w:rPr>
        <w:t>: Elaboración propia, 20</w:t>
      </w:r>
      <w:r w:rsidR="00645B25" w:rsidRPr="0050035B">
        <w:rPr>
          <w:rFonts w:ascii="Century Gothic" w:hAnsi="Century Gothic"/>
          <w:sz w:val="20"/>
          <w:szCs w:val="20"/>
          <w:lang w:val="es-MX"/>
        </w:rPr>
        <w:t>2</w:t>
      </w:r>
      <w:r w:rsidR="005606EA">
        <w:rPr>
          <w:rFonts w:ascii="Century Gothic" w:hAnsi="Century Gothic"/>
          <w:sz w:val="20"/>
          <w:szCs w:val="20"/>
          <w:lang w:val="es-MX"/>
        </w:rPr>
        <w:t>1</w:t>
      </w:r>
      <w:r w:rsidR="00CF7809" w:rsidRPr="0050035B">
        <w:rPr>
          <w:rFonts w:ascii="Century Gothic" w:hAnsi="Century Gothic"/>
          <w:sz w:val="20"/>
          <w:szCs w:val="20"/>
          <w:lang w:val="es-MX"/>
        </w:rPr>
        <w:t>.</w:t>
      </w:r>
    </w:p>
    <w:p w:rsidR="00F92997" w:rsidRPr="0050035B" w:rsidRDefault="00F92997" w:rsidP="00842D3F">
      <w:pPr>
        <w:spacing w:line="360" w:lineRule="auto"/>
        <w:jc w:val="both"/>
        <w:rPr>
          <w:rFonts w:ascii="Century Gothic" w:hAnsi="Century Gothic"/>
          <w:lang w:val="es-MX"/>
        </w:rPr>
      </w:pPr>
    </w:p>
    <w:p w:rsidR="005F7578" w:rsidRPr="0050035B" w:rsidRDefault="005F7578" w:rsidP="009F7612">
      <w:pPr>
        <w:spacing w:line="360" w:lineRule="auto"/>
        <w:ind w:firstLine="720"/>
        <w:jc w:val="both"/>
        <w:rPr>
          <w:rFonts w:ascii="Century Gothic" w:hAnsi="Century Gothic"/>
          <w:lang w:val="es-MX"/>
        </w:rPr>
      </w:pPr>
      <w:r w:rsidRPr="0050035B">
        <w:rPr>
          <w:rFonts w:ascii="Century Gothic" w:hAnsi="Century Gothic"/>
          <w:lang w:val="es-MX"/>
        </w:rPr>
        <w:t xml:space="preserve">Es importante resaltar </w:t>
      </w:r>
      <w:r w:rsidR="00465F67" w:rsidRPr="0050035B">
        <w:rPr>
          <w:rFonts w:ascii="Century Gothic" w:hAnsi="Century Gothic"/>
          <w:lang w:val="es-MX"/>
        </w:rPr>
        <w:t>que</w:t>
      </w:r>
      <w:r w:rsidR="007E156B" w:rsidRPr="0050035B">
        <w:rPr>
          <w:rFonts w:ascii="Century Gothic" w:hAnsi="Century Gothic"/>
          <w:lang w:val="es-MX"/>
        </w:rPr>
        <w:t xml:space="preserve"> por el rubro de </w:t>
      </w:r>
      <w:r w:rsidR="005606EA" w:rsidRPr="0050035B">
        <w:rPr>
          <w:rFonts w:ascii="Century Gothic" w:hAnsi="Century Gothic"/>
          <w:lang w:val="es-MX"/>
        </w:rPr>
        <w:t>Participaciones</w:t>
      </w:r>
      <w:r w:rsidR="005606EA">
        <w:rPr>
          <w:rFonts w:ascii="Century Gothic" w:hAnsi="Century Gothic"/>
          <w:lang w:val="es-MX"/>
        </w:rPr>
        <w:t xml:space="preserve">, </w:t>
      </w:r>
      <w:r w:rsidR="005606EA" w:rsidRPr="0050035B">
        <w:rPr>
          <w:rFonts w:ascii="Century Gothic" w:hAnsi="Century Gothic"/>
          <w:lang w:val="es-MX"/>
        </w:rPr>
        <w:t>Aportaciones</w:t>
      </w:r>
      <w:r w:rsidR="00F103E5">
        <w:rPr>
          <w:rFonts w:ascii="Century Gothic" w:hAnsi="Century Gothic"/>
          <w:lang w:val="es-MX"/>
        </w:rPr>
        <w:t>, Convenios e Incentivos de Colaboración Fiscal</w:t>
      </w:r>
      <w:r w:rsidR="00465F67" w:rsidRPr="0050035B">
        <w:rPr>
          <w:rFonts w:ascii="Century Gothic" w:hAnsi="Century Gothic"/>
          <w:lang w:val="es-MX"/>
        </w:rPr>
        <w:t xml:space="preserve"> en total</w:t>
      </w:r>
      <w:r w:rsidRPr="0050035B">
        <w:rPr>
          <w:rFonts w:ascii="Century Gothic" w:hAnsi="Century Gothic"/>
          <w:lang w:val="es-MX"/>
        </w:rPr>
        <w:t xml:space="preserve"> </w:t>
      </w:r>
      <w:r w:rsidR="00A62158" w:rsidRPr="0050035B">
        <w:rPr>
          <w:rFonts w:ascii="Century Gothic" w:hAnsi="Century Gothic"/>
          <w:lang w:val="es-MX"/>
        </w:rPr>
        <w:t>se tiene un ingreso de</w:t>
      </w:r>
      <w:r w:rsidR="009F7612" w:rsidRPr="0050035B">
        <w:rPr>
          <w:rFonts w:ascii="Century Gothic" w:hAnsi="Century Gothic"/>
          <w:lang w:val="es-MX"/>
        </w:rPr>
        <w:t xml:space="preserve"> </w:t>
      </w:r>
      <w:r w:rsidR="00F103E5" w:rsidRPr="00487781">
        <w:rPr>
          <w:rFonts w:ascii="Century Gothic" w:hAnsi="Century Gothic"/>
          <w:b/>
          <w:lang w:val="es-MX"/>
        </w:rPr>
        <w:t xml:space="preserve">$3,612,610,374.05 </w:t>
      </w:r>
      <w:r w:rsidR="003E112F" w:rsidRPr="00487781">
        <w:rPr>
          <w:rFonts w:ascii="Century Gothic" w:hAnsi="Century Gothic"/>
          <w:lang w:val="es-MX"/>
        </w:rPr>
        <w:t>(</w:t>
      </w:r>
      <w:r w:rsidR="00F103E5" w:rsidRPr="00487781">
        <w:rPr>
          <w:rFonts w:ascii="Century Gothic" w:hAnsi="Century Gothic"/>
          <w:b/>
          <w:lang w:val="es-MX"/>
        </w:rPr>
        <w:t>Tres mil seiscientos</w:t>
      </w:r>
      <w:r w:rsidR="00F103E5">
        <w:rPr>
          <w:rFonts w:ascii="Century Gothic" w:hAnsi="Century Gothic"/>
          <w:b/>
          <w:lang w:val="es-MX"/>
        </w:rPr>
        <w:t xml:space="preserve"> doce millones seiscientos diez mil trescientos setenta y cuatro</w:t>
      </w:r>
      <w:r w:rsidR="00B74E11" w:rsidRPr="0050035B">
        <w:rPr>
          <w:rFonts w:ascii="Century Gothic" w:hAnsi="Century Gothic"/>
          <w:b/>
          <w:lang w:val="es-MX"/>
        </w:rPr>
        <w:t xml:space="preserve"> pesos </w:t>
      </w:r>
      <w:r w:rsidR="00F103E5">
        <w:rPr>
          <w:rFonts w:ascii="Century Gothic" w:hAnsi="Century Gothic"/>
          <w:b/>
          <w:lang w:val="es-MX"/>
        </w:rPr>
        <w:t>05</w:t>
      </w:r>
      <w:r w:rsidR="003E112F" w:rsidRPr="0050035B">
        <w:rPr>
          <w:rFonts w:ascii="Century Gothic" w:hAnsi="Century Gothic"/>
          <w:b/>
          <w:lang w:val="es-MX"/>
        </w:rPr>
        <w:t>/100 Moneda Nacional)</w:t>
      </w:r>
      <w:r w:rsidRPr="0050035B">
        <w:rPr>
          <w:rFonts w:ascii="Century Gothic" w:hAnsi="Century Gothic"/>
          <w:lang w:val="es-MX"/>
        </w:rPr>
        <w:t xml:space="preserve">. Este rubro representa el </w:t>
      </w:r>
      <w:r w:rsidR="005606EA">
        <w:rPr>
          <w:rFonts w:ascii="Century Gothic" w:hAnsi="Century Gothic"/>
          <w:lang w:val="es-MX"/>
        </w:rPr>
        <w:t>54.76</w:t>
      </w:r>
      <w:r w:rsidR="00D337AD" w:rsidRPr="0050035B">
        <w:rPr>
          <w:rFonts w:ascii="Century Gothic" w:hAnsi="Century Gothic"/>
          <w:lang w:val="es-MX"/>
        </w:rPr>
        <w:t xml:space="preserve">% </w:t>
      </w:r>
      <w:r w:rsidR="00696541" w:rsidRPr="0050035B">
        <w:rPr>
          <w:rFonts w:ascii="Century Gothic" w:hAnsi="Century Gothic"/>
          <w:lang w:val="es-MX"/>
        </w:rPr>
        <w:t>del total de los ingresos</w:t>
      </w:r>
      <w:r w:rsidRPr="0050035B">
        <w:rPr>
          <w:rFonts w:ascii="Century Gothic" w:hAnsi="Century Gothic"/>
          <w:lang w:val="es-MX"/>
        </w:rPr>
        <w:t xml:space="preserve"> municipales</w:t>
      </w:r>
      <w:r w:rsidR="00696541" w:rsidRPr="0050035B">
        <w:rPr>
          <w:rFonts w:ascii="Century Gothic" w:hAnsi="Century Gothic"/>
          <w:lang w:val="es-MX"/>
        </w:rPr>
        <w:t>. Dicha</w:t>
      </w:r>
      <w:r w:rsidR="00F71F81" w:rsidRPr="0050035B">
        <w:rPr>
          <w:rFonts w:ascii="Century Gothic" w:hAnsi="Century Gothic"/>
          <w:lang w:val="es-MX"/>
        </w:rPr>
        <w:t xml:space="preserve"> </w:t>
      </w:r>
      <w:r w:rsidR="00143D7D" w:rsidRPr="0050035B">
        <w:rPr>
          <w:rFonts w:ascii="Century Gothic" w:hAnsi="Century Gothic"/>
          <w:lang w:val="es-MX"/>
        </w:rPr>
        <w:t xml:space="preserve">cantidad </w:t>
      </w:r>
      <w:r w:rsidR="00F71F81" w:rsidRPr="0050035B">
        <w:rPr>
          <w:rFonts w:ascii="Century Gothic" w:hAnsi="Century Gothic"/>
          <w:lang w:val="es-MX"/>
        </w:rPr>
        <w:t>presenta</w:t>
      </w:r>
      <w:r w:rsidR="00696541" w:rsidRPr="0050035B">
        <w:rPr>
          <w:rFonts w:ascii="Century Gothic" w:hAnsi="Century Gothic"/>
          <w:lang w:val="es-MX"/>
        </w:rPr>
        <w:t xml:space="preserve"> una</w:t>
      </w:r>
      <w:r w:rsidR="00E560E9" w:rsidRPr="0050035B">
        <w:rPr>
          <w:rFonts w:ascii="Century Gothic" w:hAnsi="Century Gothic"/>
          <w:lang w:val="es-MX"/>
        </w:rPr>
        <w:t xml:space="preserve"> </w:t>
      </w:r>
      <w:r w:rsidR="00696541" w:rsidRPr="0050035B">
        <w:rPr>
          <w:rFonts w:ascii="Century Gothic" w:hAnsi="Century Gothic"/>
          <w:lang w:val="es-MX"/>
        </w:rPr>
        <w:t>variación</w:t>
      </w:r>
      <w:r w:rsidR="00E560E9" w:rsidRPr="0050035B">
        <w:rPr>
          <w:rFonts w:ascii="Century Gothic" w:hAnsi="Century Gothic"/>
          <w:lang w:val="es-MX"/>
        </w:rPr>
        <w:t xml:space="preserve"> a la </w:t>
      </w:r>
      <w:r w:rsidR="00D337AD" w:rsidRPr="0050035B">
        <w:rPr>
          <w:rFonts w:ascii="Century Gothic" w:hAnsi="Century Gothic"/>
          <w:lang w:val="es-MX"/>
        </w:rPr>
        <w:t>baja</w:t>
      </w:r>
      <w:r w:rsidR="00DD7AE4">
        <w:rPr>
          <w:rFonts w:ascii="Century Gothic" w:hAnsi="Century Gothic"/>
          <w:lang w:val="es-MX"/>
        </w:rPr>
        <w:t xml:space="preserve"> de .40% puntos porcentuales</w:t>
      </w:r>
      <w:r w:rsidR="00E560E9" w:rsidRPr="0050035B">
        <w:rPr>
          <w:rFonts w:ascii="Century Gothic" w:hAnsi="Century Gothic"/>
          <w:lang w:val="es-MX"/>
        </w:rPr>
        <w:t xml:space="preserve"> respecto a lo presupuestado en </w:t>
      </w:r>
      <w:r w:rsidR="009F7612" w:rsidRPr="0050035B">
        <w:rPr>
          <w:rFonts w:ascii="Century Gothic" w:hAnsi="Century Gothic"/>
          <w:lang w:val="es-MX"/>
        </w:rPr>
        <w:t xml:space="preserve">el </w:t>
      </w:r>
      <w:r w:rsidR="0092669A" w:rsidRPr="0050035B">
        <w:rPr>
          <w:rFonts w:ascii="Century Gothic" w:hAnsi="Century Gothic"/>
          <w:lang w:val="es-MX"/>
        </w:rPr>
        <w:t>ejercicio</w:t>
      </w:r>
      <w:r w:rsidRPr="0050035B">
        <w:rPr>
          <w:rFonts w:ascii="Century Gothic" w:hAnsi="Century Gothic"/>
          <w:lang w:val="es-MX"/>
        </w:rPr>
        <w:t xml:space="preserve"> fiscal 20</w:t>
      </w:r>
      <w:r w:rsidR="00645B25" w:rsidRPr="0050035B">
        <w:rPr>
          <w:rFonts w:ascii="Century Gothic" w:hAnsi="Century Gothic"/>
          <w:lang w:val="es-MX"/>
        </w:rPr>
        <w:t>2</w:t>
      </w:r>
      <w:r w:rsidR="00DD7AE4">
        <w:rPr>
          <w:rFonts w:ascii="Century Gothic" w:hAnsi="Century Gothic"/>
          <w:lang w:val="es-MX"/>
        </w:rPr>
        <w:t>1</w:t>
      </w:r>
      <w:r w:rsidR="00696541" w:rsidRPr="0050035B">
        <w:rPr>
          <w:rFonts w:ascii="Century Gothic" w:hAnsi="Century Gothic"/>
          <w:lang w:val="es-MX"/>
        </w:rPr>
        <w:t>,</w:t>
      </w:r>
      <w:r w:rsidR="00143D7D" w:rsidRPr="0050035B">
        <w:rPr>
          <w:rFonts w:ascii="Century Gothic" w:hAnsi="Century Gothic"/>
          <w:lang w:val="es-MX"/>
        </w:rPr>
        <w:t xml:space="preserve"> </w:t>
      </w:r>
      <w:r w:rsidR="00F71F81" w:rsidRPr="0050035B">
        <w:rPr>
          <w:rFonts w:ascii="Century Gothic" w:hAnsi="Century Gothic"/>
          <w:lang w:val="es-MX"/>
        </w:rPr>
        <w:lastRenderedPageBreak/>
        <w:t>donde los</w:t>
      </w:r>
      <w:r w:rsidR="00696541" w:rsidRPr="0050035B">
        <w:rPr>
          <w:rFonts w:ascii="Century Gothic" w:hAnsi="Century Gothic"/>
          <w:lang w:val="es-MX"/>
        </w:rPr>
        <w:t xml:space="preserve"> ingresos por P</w:t>
      </w:r>
      <w:r w:rsidR="00143D7D" w:rsidRPr="0050035B">
        <w:rPr>
          <w:rFonts w:ascii="Century Gothic" w:hAnsi="Century Gothic"/>
          <w:lang w:val="es-MX"/>
        </w:rPr>
        <w:t xml:space="preserve">articipaciones y </w:t>
      </w:r>
      <w:r w:rsidR="00696541" w:rsidRPr="0050035B">
        <w:rPr>
          <w:rFonts w:ascii="Century Gothic" w:hAnsi="Century Gothic"/>
          <w:lang w:val="es-MX"/>
        </w:rPr>
        <w:t>A</w:t>
      </w:r>
      <w:r w:rsidR="00143D7D" w:rsidRPr="0050035B">
        <w:rPr>
          <w:rFonts w:ascii="Century Gothic" w:hAnsi="Century Gothic"/>
          <w:lang w:val="es-MX"/>
        </w:rPr>
        <w:t>portaciones representa</w:t>
      </w:r>
      <w:r w:rsidRPr="0050035B">
        <w:rPr>
          <w:rFonts w:ascii="Century Gothic" w:hAnsi="Century Gothic"/>
          <w:lang w:val="es-MX"/>
        </w:rPr>
        <w:t>ron</w:t>
      </w:r>
      <w:r w:rsidR="009F7612" w:rsidRPr="0050035B">
        <w:rPr>
          <w:rFonts w:ascii="Century Gothic" w:hAnsi="Century Gothic"/>
          <w:lang w:val="es-MX"/>
        </w:rPr>
        <w:t xml:space="preserve"> </w:t>
      </w:r>
      <w:r w:rsidR="00143D7D" w:rsidRPr="0050035B">
        <w:rPr>
          <w:rFonts w:ascii="Century Gothic" w:hAnsi="Century Gothic"/>
          <w:lang w:val="es-MX"/>
        </w:rPr>
        <w:t xml:space="preserve">el </w:t>
      </w:r>
      <w:r w:rsidR="00DD7AE4">
        <w:rPr>
          <w:rFonts w:ascii="Century Gothic" w:hAnsi="Century Gothic"/>
          <w:lang w:val="es-MX"/>
        </w:rPr>
        <w:t>55.16</w:t>
      </w:r>
      <w:r w:rsidR="00D337AD" w:rsidRPr="0050035B">
        <w:rPr>
          <w:rFonts w:ascii="Century Gothic" w:hAnsi="Century Gothic"/>
          <w:lang w:val="es-MX"/>
        </w:rPr>
        <w:t xml:space="preserve">% </w:t>
      </w:r>
      <w:r w:rsidR="00A62158" w:rsidRPr="0050035B">
        <w:rPr>
          <w:rFonts w:ascii="Century Gothic" w:hAnsi="Century Gothic"/>
          <w:lang w:val="es-MX"/>
        </w:rPr>
        <w:t xml:space="preserve">de los ingresos </w:t>
      </w:r>
      <w:r w:rsidR="004C66BC" w:rsidRPr="0050035B">
        <w:rPr>
          <w:rFonts w:ascii="Century Gothic" w:hAnsi="Century Gothic"/>
          <w:lang w:val="es-MX"/>
        </w:rPr>
        <w:t>presupuestados</w:t>
      </w:r>
      <w:r w:rsidR="00A62158" w:rsidRPr="0050035B">
        <w:rPr>
          <w:rFonts w:ascii="Century Gothic" w:hAnsi="Century Gothic"/>
          <w:lang w:val="es-MX"/>
        </w:rPr>
        <w:t xml:space="preserve"> para el </w:t>
      </w:r>
      <w:r w:rsidR="00373DAB" w:rsidRPr="0050035B">
        <w:rPr>
          <w:rFonts w:ascii="Century Gothic" w:hAnsi="Century Gothic"/>
          <w:lang w:val="es-MX"/>
        </w:rPr>
        <w:t>Municipio</w:t>
      </w:r>
      <w:r w:rsidR="00465F67" w:rsidRPr="0050035B">
        <w:rPr>
          <w:rFonts w:ascii="Century Gothic" w:hAnsi="Century Gothic"/>
          <w:lang w:val="es-MX"/>
        </w:rPr>
        <w:t>.</w:t>
      </w:r>
    </w:p>
    <w:p w:rsidR="00463244" w:rsidRPr="0050035B" w:rsidRDefault="00463244" w:rsidP="002031CA">
      <w:pPr>
        <w:spacing w:line="360" w:lineRule="auto"/>
        <w:ind w:firstLine="720"/>
        <w:jc w:val="both"/>
        <w:rPr>
          <w:rFonts w:ascii="Century Gothic" w:hAnsi="Century Gothic"/>
          <w:lang w:val="es-MX"/>
        </w:rPr>
      </w:pPr>
    </w:p>
    <w:p w:rsidR="006F4F72" w:rsidRPr="0050035B" w:rsidRDefault="00A62158" w:rsidP="00DD7AE4">
      <w:pPr>
        <w:spacing w:line="360" w:lineRule="auto"/>
        <w:ind w:firstLine="720"/>
        <w:jc w:val="both"/>
        <w:rPr>
          <w:rFonts w:ascii="Century Gothic" w:hAnsi="Century Gothic"/>
          <w:lang w:val="es-MX"/>
        </w:rPr>
      </w:pPr>
      <w:r w:rsidRPr="0050035B">
        <w:rPr>
          <w:rFonts w:ascii="Century Gothic" w:hAnsi="Century Gothic"/>
          <w:lang w:val="es-MX"/>
        </w:rPr>
        <w:t xml:space="preserve">Finalmente, </w:t>
      </w:r>
      <w:r w:rsidR="00123855" w:rsidRPr="0050035B">
        <w:rPr>
          <w:rFonts w:ascii="Century Gothic" w:hAnsi="Century Gothic"/>
          <w:lang w:val="es-MX"/>
        </w:rPr>
        <w:t xml:space="preserve">se presenta </w:t>
      </w:r>
      <w:r w:rsidRPr="0050035B">
        <w:rPr>
          <w:rFonts w:ascii="Century Gothic" w:hAnsi="Century Gothic"/>
          <w:lang w:val="es-MX"/>
        </w:rPr>
        <w:t>el rubro “</w:t>
      </w:r>
      <w:r w:rsidRPr="0050035B">
        <w:rPr>
          <w:rFonts w:ascii="Century Gothic" w:hAnsi="Century Gothic"/>
          <w:b/>
          <w:lang w:val="es-MX"/>
        </w:rPr>
        <w:t>Transferencias, Asignaciones, Subsidios y Otras Ayudas”</w:t>
      </w:r>
      <w:r w:rsidRPr="0050035B">
        <w:rPr>
          <w:rFonts w:ascii="Century Gothic" w:hAnsi="Century Gothic"/>
          <w:lang w:val="es-MX"/>
        </w:rPr>
        <w:t xml:space="preserve"> </w:t>
      </w:r>
      <w:r w:rsidR="00123855" w:rsidRPr="0050035B">
        <w:rPr>
          <w:rFonts w:ascii="Century Gothic" w:hAnsi="Century Gothic"/>
          <w:lang w:val="es-MX"/>
        </w:rPr>
        <w:t xml:space="preserve">cuya estimación para el ejercicio fiscal </w:t>
      </w:r>
      <w:r w:rsidR="00450CB0" w:rsidRPr="0050035B">
        <w:rPr>
          <w:rFonts w:ascii="Century Gothic" w:hAnsi="Century Gothic"/>
          <w:lang w:val="es-MX"/>
        </w:rPr>
        <w:t>202</w:t>
      </w:r>
      <w:r w:rsidR="007B0C1A">
        <w:rPr>
          <w:rFonts w:ascii="Century Gothic" w:hAnsi="Century Gothic"/>
          <w:lang w:val="es-MX"/>
        </w:rPr>
        <w:t>2</w:t>
      </w:r>
      <w:r w:rsidR="00123855" w:rsidRPr="0050035B">
        <w:rPr>
          <w:rFonts w:ascii="Century Gothic" w:hAnsi="Century Gothic"/>
          <w:lang w:val="es-MX"/>
        </w:rPr>
        <w:t xml:space="preserve"> asciende a un monto</w:t>
      </w:r>
      <w:r w:rsidR="002031CA" w:rsidRPr="0050035B">
        <w:rPr>
          <w:rFonts w:ascii="Century Gothic" w:hAnsi="Century Gothic"/>
          <w:lang w:val="es-MX"/>
        </w:rPr>
        <w:t xml:space="preserve"> de</w:t>
      </w:r>
      <w:r w:rsidR="00DD7AE4" w:rsidRPr="00DD7AE4">
        <w:t xml:space="preserve"> </w:t>
      </w:r>
      <w:r w:rsidR="00DD7AE4" w:rsidRPr="00DD7AE4">
        <w:rPr>
          <w:rFonts w:ascii="Century Gothic" w:hAnsi="Century Gothic"/>
          <w:b/>
          <w:lang w:val="es-MX"/>
        </w:rPr>
        <w:t xml:space="preserve">$76,226,930.91 </w:t>
      </w:r>
      <w:r w:rsidR="003644CD" w:rsidRPr="0050035B">
        <w:rPr>
          <w:rFonts w:ascii="Century Gothic" w:hAnsi="Century Gothic"/>
          <w:b/>
          <w:lang w:val="es-MX"/>
        </w:rPr>
        <w:t>(</w:t>
      </w:r>
      <w:r w:rsidR="00DD7AE4">
        <w:rPr>
          <w:rFonts w:ascii="Century Gothic" w:hAnsi="Century Gothic"/>
          <w:b/>
          <w:lang w:val="es-MX"/>
        </w:rPr>
        <w:t xml:space="preserve">Setenta y seis millones doscientos veintiséis mil novecientos treinta </w:t>
      </w:r>
      <w:r w:rsidR="00755F5F" w:rsidRPr="0050035B">
        <w:rPr>
          <w:rFonts w:ascii="Century Gothic" w:hAnsi="Century Gothic"/>
          <w:b/>
          <w:lang w:val="es-MX"/>
        </w:rPr>
        <w:t xml:space="preserve">pesos </w:t>
      </w:r>
      <w:r w:rsidR="00DD7AE4">
        <w:rPr>
          <w:rFonts w:ascii="Century Gothic" w:hAnsi="Century Gothic"/>
          <w:b/>
          <w:lang w:val="es-MX"/>
        </w:rPr>
        <w:t>91</w:t>
      </w:r>
      <w:r w:rsidR="003644CD" w:rsidRPr="0050035B">
        <w:rPr>
          <w:rFonts w:ascii="Century Gothic" w:hAnsi="Century Gothic"/>
          <w:b/>
          <w:lang w:val="es-MX"/>
        </w:rPr>
        <w:t>/100 Moneda Nacional)</w:t>
      </w:r>
      <w:r w:rsidR="002031CA" w:rsidRPr="0050035B">
        <w:rPr>
          <w:rFonts w:ascii="Century Gothic" w:hAnsi="Century Gothic"/>
          <w:lang w:val="es-MX"/>
        </w:rPr>
        <w:t xml:space="preserve">. </w:t>
      </w:r>
      <w:r w:rsidR="006F4F72" w:rsidRPr="0050035B">
        <w:rPr>
          <w:rFonts w:ascii="Century Gothic" w:hAnsi="Century Gothic"/>
          <w:lang w:val="es-MX"/>
        </w:rPr>
        <w:t xml:space="preserve">Lo que representa </w:t>
      </w:r>
      <w:r w:rsidR="00755F5F" w:rsidRPr="0050035B">
        <w:rPr>
          <w:rFonts w:ascii="Century Gothic" w:hAnsi="Century Gothic"/>
          <w:lang w:val="es-MX"/>
        </w:rPr>
        <w:t>un</w:t>
      </w:r>
      <w:r w:rsidR="00DD7AE4">
        <w:rPr>
          <w:rFonts w:ascii="Century Gothic" w:hAnsi="Century Gothic"/>
          <w:lang w:val="es-MX"/>
        </w:rPr>
        <w:t xml:space="preserve"> 1.16% del total de los ingresos presupuestados para el 2022 (antes de financiamiento), monto 4.29% inferior al total de ingresos que representaron en el ejercicio fiscal 2021</w:t>
      </w:r>
      <w:r w:rsidR="005606EA">
        <w:rPr>
          <w:rFonts w:ascii="Century Gothic" w:hAnsi="Century Gothic"/>
          <w:lang w:val="es-MX"/>
        </w:rPr>
        <w:t xml:space="preserve"> (5.45%)</w:t>
      </w:r>
      <w:r w:rsidR="00DD7AE4">
        <w:rPr>
          <w:rFonts w:ascii="Century Gothic" w:hAnsi="Century Gothic"/>
          <w:lang w:val="es-MX"/>
        </w:rPr>
        <w:t>. Lo c</w:t>
      </w:r>
      <w:r w:rsidR="006E4F2B">
        <w:rPr>
          <w:rFonts w:ascii="Century Gothic" w:hAnsi="Century Gothic"/>
          <w:lang w:val="es-MX"/>
        </w:rPr>
        <w:t>ual aporta a considerar que el M</w:t>
      </w:r>
      <w:r w:rsidR="00DD7AE4">
        <w:rPr>
          <w:rFonts w:ascii="Century Gothic" w:hAnsi="Century Gothic"/>
          <w:lang w:val="es-MX"/>
        </w:rPr>
        <w:t xml:space="preserve">unicipio de Monterrey se encuentra en una mejor situación de independencia financiera. </w:t>
      </w:r>
    </w:p>
    <w:p w:rsidR="00465F67" w:rsidRPr="0050035B" w:rsidRDefault="00465F67" w:rsidP="002031CA">
      <w:pPr>
        <w:spacing w:line="360" w:lineRule="auto"/>
        <w:ind w:firstLine="720"/>
        <w:jc w:val="both"/>
        <w:rPr>
          <w:rFonts w:ascii="Century Gothic" w:hAnsi="Century Gothic"/>
          <w:lang w:val="es-MX"/>
        </w:rPr>
      </w:pPr>
    </w:p>
    <w:p w:rsidR="006F4F72" w:rsidRPr="0050035B" w:rsidRDefault="0069500C" w:rsidP="009E6C4F">
      <w:pPr>
        <w:spacing w:line="360" w:lineRule="auto"/>
        <w:ind w:firstLine="720"/>
        <w:jc w:val="both"/>
        <w:rPr>
          <w:rFonts w:ascii="Century Gothic" w:hAnsi="Century Gothic"/>
          <w:lang w:val="es-MX"/>
        </w:rPr>
      </w:pPr>
      <w:r w:rsidRPr="0050035B">
        <w:rPr>
          <w:rFonts w:ascii="Century Gothic" w:hAnsi="Century Gothic"/>
          <w:lang w:val="es-MX"/>
        </w:rPr>
        <w:t>L</w:t>
      </w:r>
      <w:r w:rsidR="00F22498" w:rsidRPr="0050035B">
        <w:rPr>
          <w:rFonts w:ascii="Century Gothic" w:hAnsi="Century Gothic"/>
          <w:lang w:val="es-MX"/>
        </w:rPr>
        <w:t>a T</w:t>
      </w:r>
      <w:r w:rsidR="003C57FD" w:rsidRPr="0050035B">
        <w:rPr>
          <w:rFonts w:ascii="Century Gothic" w:hAnsi="Century Gothic"/>
          <w:lang w:val="es-MX"/>
        </w:rPr>
        <w:t>abla 4.8</w:t>
      </w:r>
      <w:r w:rsidR="00E560E9" w:rsidRPr="0050035B">
        <w:rPr>
          <w:rFonts w:ascii="Century Gothic" w:hAnsi="Century Gothic"/>
          <w:lang w:val="es-MX"/>
        </w:rPr>
        <w:t>.</w:t>
      </w:r>
      <w:r w:rsidRPr="0050035B">
        <w:rPr>
          <w:rFonts w:ascii="Century Gothic" w:hAnsi="Century Gothic"/>
          <w:lang w:val="es-MX"/>
        </w:rPr>
        <w:t>, muestra el comportamiento histórico del rubro dura</w:t>
      </w:r>
      <w:r w:rsidR="006F4F72" w:rsidRPr="0050035B">
        <w:rPr>
          <w:rFonts w:ascii="Century Gothic" w:hAnsi="Century Gothic"/>
          <w:lang w:val="es-MX"/>
        </w:rPr>
        <w:t xml:space="preserve">nte los ejercicios </w:t>
      </w:r>
      <w:r w:rsidR="00E560E9" w:rsidRPr="0050035B">
        <w:rPr>
          <w:rFonts w:ascii="Century Gothic" w:hAnsi="Century Gothic"/>
          <w:lang w:val="es-MX"/>
        </w:rPr>
        <w:t xml:space="preserve">fiscales desde el año fiscal </w:t>
      </w:r>
      <w:r w:rsidR="006F4F72" w:rsidRPr="0050035B">
        <w:rPr>
          <w:rFonts w:ascii="Century Gothic" w:hAnsi="Century Gothic"/>
          <w:lang w:val="es-MX"/>
        </w:rPr>
        <w:t>20</w:t>
      </w:r>
      <w:r w:rsidR="00DD7AE4">
        <w:rPr>
          <w:rFonts w:ascii="Century Gothic" w:hAnsi="Century Gothic"/>
          <w:lang w:val="es-MX"/>
        </w:rPr>
        <w:t>20</w:t>
      </w:r>
      <w:r w:rsidRPr="0050035B">
        <w:rPr>
          <w:rFonts w:ascii="Century Gothic" w:hAnsi="Century Gothic"/>
          <w:lang w:val="es-MX"/>
        </w:rPr>
        <w:t xml:space="preserve"> hasta la proyección</w:t>
      </w:r>
      <w:r w:rsidR="00E560E9" w:rsidRPr="0050035B">
        <w:rPr>
          <w:rFonts w:ascii="Century Gothic" w:hAnsi="Century Gothic"/>
          <w:lang w:val="es-MX"/>
        </w:rPr>
        <w:t xml:space="preserve"> de ingresos para </w:t>
      </w:r>
      <w:r w:rsidRPr="0050035B">
        <w:rPr>
          <w:rFonts w:ascii="Century Gothic" w:hAnsi="Century Gothic"/>
          <w:lang w:val="es-MX"/>
        </w:rPr>
        <w:t>el</w:t>
      </w:r>
      <w:r w:rsidR="00E560E9" w:rsidRPr="0050035B">
        <w:rPr>
          <w:rFonts w:ascii="Century Gothic" w:hAnsi="Century Gothic"/>
          <w:lang w:val="es-MX"/>
        </w:rPr>
        <w:t xml:space="preserve"> ejercicio fiscal</w:t>
      </w:r>
      <w:r w:rsidRPr="0050035B">
        <w:rPr>
          <w:rFonts w:ascii="Century Gothic" w:hAnsi="Century Gothic"/>
          <w:lang w:val="es-MX"/>
        </w:rPr>
        <w:t xml:space="preserve"> 20</w:t>
      </w:r>
      <w:r w:rsidR="00C63E62" w:rsidRPr="0050035B">
        <w:rPr>
          <w:rFonts w:ascii="Century Gothic" w:hAnsi="Century Gothic"/>
          <w:lang w:val="es-MX"/>
        </w:rPr>
        <w:t>2</w:t>
      </w:r>
      <w:r w:rsidR="00DD7AE4">
        <w:rPr>
          <w:rFonts w:ascii="Century Gothic" w:hAnsi="Century Gothic"/>
          <w:lang w:val="es-MX"/>
        </w:rPr>
        <w:t>2</w:t>
      </w:r>
      <w:r w:rsidRPr="0050035B">
        <w:rPr>
          <w:rFonts w:ascii="Century Gothic" w:hAnsi="Century Gothic"/>
          <w:lang w:val="es-MX"/>
        </w:rPr>
        <w:t xml:space="preserve">. </w:t>
      </w:r>
    </w:p>
    <w:p w:rsidR="003C57FD" w:rsidRPr="0050035B" w:rsidRDefault="003C57FD" w:rsidP="00462C17">
      <w:pPr>
        <w:rPr>
          <w:rFonts w:ascii="Century Gothic" w:hAnsi="Century Gothic"/>
          <w:lang w:val="es-MX"/>
        </w:rPr>
      </w:pPr>
    </w:p>
    <w:tbl>
      <w:tblPr>
        <w:tblpPr w:leftFromText="141" w:rightFromText="141" w:vertAnchor="text" w:horzAnchor="margin" w:tblpY="656"/>
        <w:tblW w:w="5000" w:type="pct"/>
        <w:tblLayout w:type="fixed"/>
        <w:tblLook w:val="04A0" w:firstRow="1" w:lastRow="0" w:firstColumn="1" w:lastColumn="0" w:noHBand="0" w:noVBand="1"/>
      </w:tblPr>
      <w:tblGrid>
        <w:gridCol w:w="2308"/>
        <w:gridCol w:w="1611"/>
        <w:gridCol w:w="1625"/>
        <w:gridCol w:w="1488"/>
        <w:gridCol w:w="1763"/>
      </w:tblGrid>
      <w:tr w:rsidR="00645B25" w:rsidRPr="0050035B" w:rsidTr="00E44364">
        <w:trPr>
          <w:trHeight w:val="451"/>
        </w:trPr>
        <w:tc>
          <w:tcPr>
            <w:tcW w:w="1312" w:type="pct"/>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645B25" w:rsidRPr="00E44364" w:rsidRDefault="00645B25" w:rsidP="00645B25">
            <w:pPr>
              <w:spacing w:line="276" w:lineRule="auto"/>
              <w:ind w:left="-93"/>
              <w:jc w:val="center"/>
              <w:rPr>
                <w:rFonts w:ascii="Century Gothic" w:eastAsia="Times New Roman" w:hAnsi="Century Gothic" w:cs="Arial"/>
                <w:b/>
                <w:bCs/>
                <w:color w:val="000000" w:themeColor="text1"/>
                <w:sz w:val="18"/>
                <w:szCs w:val="18"/>
                <w:lang w:val="es-MX"/>
              </w:rPr>
            </w:pPr>
            <w:r w:rsidRPr="00E44364">
              <w:rPr>
                <w:rFonts w:ascii="Century Gothic" w:eastAsia="Times New Roman" w:hAnsi="Century Gothic" w:cs="Arial"/>
                <w:b/>
                <w:bCs/>
                <w:color w:val="000000" w:themeColor="text1"/>
                <w:sz w:val="18"/>
                <w:szCs w:val="18"/>
                <w:lang w:val="es-MX"/>
              </w:rPr>
              <w:t>CONCEPTO</w:t>
            </w:r>
          </w:p>
        </w:tc>
        <w:tc>
          <w:tcPr>
            <w:tcW w:w="916" w:type="pct"/>
            <w:tcBorders>
              <w:top w:val="single" w:sz="8" w:space="0" w:color="auto"/>
              <w:left w:val="nil"/>
              <w:bottom w:val="single" w:sz="4" w:space="0" w:color="auto"/>
              <w:right w:val="single" w:sz="4" w:space="0" w:color="auto"/>
            </w:tcBorders>
            <w:shd w:val="clear" w:color="auto" w:fill="FABF8F" w:themeFill="accent6" w:themeFillTint="99"/>
            <w:vAlign w:val="center"/>
            <w:hideMark/>
          </w:tcPr>
          <w:p w:rsidR="00645B25" w:rsidRPr="00E44364" w:rsidRDefault="00645B25" w:rsidP="00645B25">
            <w:pPr>
              <w:spacing w:line="276" w:lineRule="auto"/>
              <w:jc w:val="center"/>
              <w:rPr>
                <w:rFonts w:ascii="Century Gothic" w:eastAsia="Times New Roman" w:hAnsi="Century Gothic" w:cs="Arial"/>
                <w:b/>
                <w:bCs/>
                <w:color w:val="000000" w:themeColor="text1"/>
                <w:sz w:val="18"/>
                <w:szCs w:val="18"/>
                <w:highlight w:val="yellow"/>
                <w:lang w:val="es-MX"/>
              </w:rPr>
            </w:pPr>
            <w:r w:rsidRPr="00E44364">
              <w:rPr>
                <w:rFonts w:ascii="Century Gothic" w:hAnsi="Century Gothic"/>
                <w:b/>
                <w:color w:val="000000" w:themeColor="text1"/>
                <w:sz w:val="16"/>
                <w:szCs w:val="16"/>
                <w:lang w:val="es-MX"/>
              </w:rPr>
              <w:t>Presupuesto aprobado 20</w:t>
            </w:r>
            <w:r w:rsidR="00DD7AE4" w:rsidRPr="00E44364">
              <w:rPr>
                <w:rFonts w:ascii="Century Gothic" w:hAnsi="Century Gothic"/>
                <w:b/>
                <w:color w:val="000000" w:themeColor="text1"/>
                <w:sz w:val="16"/>
                <w:szCs w:val="16"/>
                <w:lang w:val="es-MX"/>
              </w:rPr>
              <w:t>20</w:t>
            </w:r>
          </w:p>
        </w:tc>
        <w:tc>
          <w:tcPr>
            <w:tcW w:w="924" w:type="pct"/>
            <w:tcBorders>
              <w:top w:val="single" w:sz="8" w:space="0" w:color="auto"/>
              <w:left w:val="nil"/>
              <w:bottom w:val="single" w:sz="4" w:space="0" w:color="auto"/>
              <w:right w:val="single" w:sz="8" w:space="0" w:color="auto"/>
            </w:tcBorders>
            <w:shd w:val="clear" w:color="auto" w:fill="FABF8F" w:themeFill="accent6" w:themeFillTint="99"/>
            <w:vAlign w:val="center"/>
            <w:hideMark/>
          </w:tcPr>
          <w:p w:rsidR="00645B25" w:rsidRPr="00E44364" w:rsidRDefault="00645B25" w:rsidP="00645B25">
            <w:pPr>
              <w:spacing w:line="276" w:lineRule="auto"/>
              <w:jc w:val="center"/>
              <w:rPr>
                <w:rFonts w:ascii="Century Gothic" w:eastAsia="Times New Roman" w:hAnsi="Century Gothic" w:cs="Arial"/>
                <w:b/>
                <w:bCs/>
                <w:color w:val="000000" w:themeColor="text1"/>
                <w:sz w:val="18"/>
                <w:szCs w:val="18"/>
                <w:highlight w:val="yellow"/>
                <w:lang w:val="es-MX"/>
              </w:rPr>
            </w:pPr>
            <w:r w:rsidRPr="00E44364">
              <w:rPr>
                <w:rFonts w:ascii="Century Gothic" w:hAnsi="Century Gothic"/>
                <w:b/>
                <w:color w:val="000000" w:themeColor="text1"/>
                <w:sz w:val="18"/>
                <w:szCs w:val="16"/>
                <w:lang w:val="es-MX"/>
              </w:rPr>
              <w:t>Presupuesto aprobado 202</w:t>
            </w:r>
            <w:r w:rsidR="00DD7AE4" w:rsidRPr="00E44364">
              <w:rPr>
                <w:rFonts w:ascii="Century Gothic" w:hAnsi="Century Gothic"/>
                <w:b/>
                <w:color w:val="000000" w:themeColor="text1"/>
                <w:sz w:val="18"/>
                <w:szCs w:val="16"/>
                <w:lang w:val="es-MX"/>
              </w:rPr>
              <w:t>1</w:t>
            </w:r>
          </w:p>
        </w:tc>
        <w:tc>
          <w:tcPr>
            <w:tcW w:w="846" w:type="pct"/>
            <w:tcBorders>
              <w:top w:val="single" w:sz="8" w:space="0" w:color="auto"/>
              <w:left w:val="nil"/>
              <w:bottom w:val="single" w:sz="4" w:space="0" w:color="auto"/>
              <w:right w:val="single" w:sz="8" w:space="0" w:color="auto"/>
            </w:tcBorders>
            <w:shd w:val="clear" w:color="auto" w:fill="FABF8F" w:themeFill="accent6" w:themeFillTint="99"/>
            <w:vAlign w:val="center"/>
          </w:tcPr>
          <w:p w:rsidR="00645B25" w:rsidRPr="00E44364" w:rsidRDefault="00645B25" w:rsidP="00645B25">
            <w:pPr>
              <w:spacing w:line="276" w:lineRule="auto"/>
              <w:jc w:val="center"/>
              <w:rPr>
                <w:rFonts w:ascii="Century Gothic" w:eastAsia="Times New Roman" w:hAnsi="Century Gothic" w:cs="Arial"/>
                <w:b/>
                <w:bCs/>
                <w:color w:val="000000" w:themeColor="text1"/>
                <w:sz w:val="18"/>
                <w:szCs w:val="18"/>
                <w:highlight w:val="yellow"/>
                <w:lang w:val="es-MX"/>
              </w:rPr>
            </w:pPr>
            <w:r w:rsidRPr="00E44364">
              <w:rPr>
                <w:rFonts w:ascii="Century Gothic" w:eastAsia="Times New Roman" w:hAnsi="Century Gothic" w:cs="Arial"/>
                <w:b/>
                <w:color w:val="000000" w:themeColor="text1"/>
                <w:sz w:val="18"/>
                <w:szCs w:val="16"/>
                <w:lang w:val="es-MX" w:eastAsia="es-MX"/>
              </w:rPr>
              <w:t>Proyecto de Presupuesto 202</w:t>
            </w:r>
            <w:r w:rsidR="00DD7AE4" w:rsidRPr="00E44364">
              <w:rPr>
                <w:rFonts w:ascii="Century Gothic" w:eastAsia="Times New Roman" w:hAnsi="Century Gothic" w:cs="Arial"/>
                <w:b/>
                <w:color w:val="000000" w:themeColor="text1"/>
                <w:sz w:val="18"/>
                <w:szCs w:val="16"/>
                <w:lang w:val="es-MX" w:eastAsia="es-MX"/>
              </w:rPr>
              <w:t>2</w:t>
            </w:r>
          </w:p>
        </w:tc>
        <w:tc>
          <w:tcPr>
            <w:tcW w:w="1002" w:type="pct"/>
            <w:tcBorders>
              <w:top w:val="single" w:sz="8" w:space="0" w:color="auto"/>
              <w:left w:val="nil"/>
              <w:bottom w:val="single" w:sz="4" w:space="0" w:color="auto"/>
              <w:right w:val="single" w:sz="8" w:space="0" w:color="auto"/>
            </w:tcBorders>
            <w:shd w:val="clear" w:color="auto" w:fill="FABF8F" w:themeFill="accent6" w:themeFillTint="99"/>
            <w:vAlign w:val="center"/>
          </w:tcPr>
          <w:p w:rsidR="00645B25" w:rsidRPr="00E44364" w:rsidRDefault="00645B25" w:rsidP="00645B25">
            <w:pPr>
              <w:spacing w:line="276" w:lineRule="auto"/>
              <w:jc w:val="center"/>
              <w:rPr>
                <w:rFonts w:ascii="Century Gothic" w:eastAsia="Times New Roman" w:hAnsi="Century Gothic" w:cs="Arial"/>
                <w:b/>
                <w:bCs/>
                <w:color w:val="000000" w:themeColor="text1"/>
                <w:sz w:val="18"/>
                <w:szCs w:val="18"/>
                <w:highlight w:val="yellow"/>
                <w:lang w:val="es-MX"/>
              </w:rPr>
            </w:pPr>
            <w:r w:rsidRPr="00E44364">
              <w:rPr>
                <w:rFonts w:ascii="Century Gothic" w:eastAsia="Times New Roman" w:hAnsi="Century Gothic" w:cs="Arial"/>
                <w:b/>
                <w:color w:val="000000" w:themeColor="text1"/>
                <w:sz w:val="16"/>
                <w:szCs w:val="16"/>
                <w:lang w:val="es-MX" w:eastAsia="es-MX"/>
              </w:rPr>
              <w:t>Tasa de Crecimiento (TdC) 202</w:t>
            </w:r>
            <w:r w:rsidR="00DD7AE4" w:rsidRPr="00E44364">
              <w:rPr>
                <w:rFonts w:ascii="Century Gothic" w:eastAsia="Times New Roman" w:hAnsi="Century Gothic" w:cs="Arial"/>
                <w:b/>
                <w:color w:val="000000" w:themeColor="text1"/>
                <w:sz w:val="16"/>
                <w:szCs w:val="16"/>
                <w:lang w:val="es-MX" w:eastAsia="es-MX"/>
              </w:rPr>
              <w:t>2</w:t>
            </w:r>
            <w:r w:rsidRPr="00E44364">
              <w:rPr>
                <w:rFonts w:ascii="Century Gothic" w:eastAsia="Times New Roman" w:hAnsi="Century Gothic" w:cs="Arial"/>
                <w:b/>
                <w:color w:val="000000" w:themeColor="text1"/>
                <w:sz w:val="16"/>
                <w:szCs w:val="16"/>
                <w:lang w:val="es-MX" w:eastAsia="es-MX"/>
              </w:rPr>
              <w:t xml:space="preserve"> respecto 202</w:t>
            </w:r>
            <w:r w:rsidR="00DD7AE4" w:rsidRPr="00E44364">
              <w:rPr>
                <w:rFonts w:ascii="Century Gothic" w:eastAsia="Times New Roman" w:hAnsi="Century Gothic" w:cs="Arial"/>
                <w:b/>
                <w:color w:val="000000" w:themeColor="text1"/>
                <w:sz w:val="16"/>
                <w:szCs w:val="16"/>
                <w:lang w:val="es-MX" w:eastAsia="es-MX"/>
              </w:rPr>
              <w:t>1</w:t>
            </w:r>
          </w:p>
        </w:tc>
      </w:tr>
      <w:tr w:rsidR="00DD7AE4" w:rsidRPr="0050035B" w:rsidTr="007C39BA">
        <w:trPr>
          <w:trHeight w:val="333"/>
        </w:trPr>
        <w:tc>
          <w:tcPr>
            <w:tcW w:w="1312" w:type="pct"/>
            <w:tcBorders>
              <w:top w:val="nil"/>
              <w:left w:val="single" w:sz="8" w:space="0" w:color="auto"/>
              <w:bottom w:val="single" w:sz="8" w:space="0" w:color="auto"/>
              <w:right w:val="single" w:sz="4" w:space="0" w:color="auto"/>
            </w:tcBorders>
            <w:shd w:val="clear" w:color="auto" w:fill="595959" w:themeFill="text1" w:themeFillTint="A6"/>
            <w:noWrap/>
            <w:vAlign w:val="center"/>
            <w:hideMark/>
          </w:tcPr>
          <w:p w:rsidR="00DD7AE4" w:rsidRPr="0050035B" w:rsidRDefault="00DD7AE4" w:rsidP="00DD7AE4">
            <w:pPr>
              <w:spacing w:line="276" w:lineRule="auto"/>
              <w:rPr>
                <w:rFonts w:ascii="Century Gothic" w:eastAsia="Times New Roman" w:hAnsi="Century Gothic" w:cs="Arial"/>
                <w:b/>
                <w:color w:val="000000"/>
                <w:sz w:val="18"/>
                <w:szCs w:val="18"/>
                <w:lang w:val="es-MX"/>
              </w:rPr>
            </w:pPr>
            <w:r w:rsidRPr="0050035B">
              <w:rPr>
                <w:rFonts w:ascii="Century Gothic" w:eastAsia="Times New Roman" w:hAnsi="Century Gothic" w:cs="Arial"/>
                <w:b/>
                <w:color w:val="FFFFFF" w:themeColor="background1"/>
                <w:sz w:val="18"/>
                <w:szCs w:val="18"/>
                <w:lang w:val="es-MX"/>
              </w:rPr>
              <w:t>Transferencias, Asignaciones, Subsidios y otras Ayudas</w:t>
            </w:r>
          </w:p>
        </w:tc>
        <w:tc>
          <w:tcPr>
            <w:tcW w:w="916" w:type="pct"/>
            <w:tcBorders>
              <w:top w:val="nil"/>
              <w:left w:val="single" w:sz="4" w:space="0" w:color="auto"/>
              <w:bottom w:val="single" w:sz="8" w:space="0" w:color="auto"/>
              <w:right w:val="single" w:sz="4" w:space="0" w:color="auto"/>
            </w:tcBorders>
            <w:shd w:val="clear" w:color="auto" w:fill="auto"/>
            <w:noWrap/>
            <w:vAlign w:val="center"/>
            <w:hideMark/>
          </w:tcPr>
          <w:p w:rsidR="00DD7AE4" w:rsidRPr="0050035B" w:rsidRDefault="00DD7AE4" w:rsidP="00DD7AE4">
            <w:pPr>
              <w:spacing w:line="276" w:lineRule="auto"/>
              <w:jc w:val="center"/>
              <w:rPr>
                <w:rFonts w:ascii="Century Gothic" w:hAnsi="Century Gothic" w:cs="Calibri"/>
                <w:strike/>
                <w:color w:val="000000"/>
                <w:sz w:val="17"/>
                <w:szCs w:val="17"/>
                <w:highlight w:val="yellow"/>
                <w:lang w:val="es-MX"/>
              </w:rPr>
            </w:pPr>
            <w:r>
              <w:rPr>
                <w:rFonts w:ascii="Century Gothic" w:hAnsi="Century Gothic" w:cs="Calibri"/>
                <w:color w:val="000000"/>
                <w:sz w:val="18"/>
                <w:szCs w:val="18"/>
              </w:rPr>
              <w:t>$150,217,678.34</w:t>
            </w:r>
          </w:p>
        </w:tc>
        <w:tc>
          <w:tcPr>
            <w:tcW w:w="924" w:type="pct"/>
            <w:tcBorders>
              <w:top w:val="nil"/>
              <w:left w:val="nil"/>
              <w:bottom w:val="single" w:sz="8" w:space="0" w:color="auto"/>
              <w:right w:val="single" w:sz="8" w:space="0" w:color="auto"/>
            </w:tcBorders>
            <w:shd w:val="clear" w:color="auto" w:fill="auto"/>
            <w:noWrap/>
            <w:vAlign w:val="center"/>
            <w:hideMark/>
          </w:tcPr>
          <w:p w:rsidR="00DD7AE4" w:rsidRPr="0050035B" w:rsidRDefault="00DD7AE4" w:rsidP="00DD7AE4">
            <w:pPr>
              <w:spacing w:line="276" w:lineRule="auto"/>
              <w:jc w:val="center"/>
              <w:rPr>
                <w:rFonts w:ascii="Century Gothic" w:hAnsi="Century Gothic" w:cs="Calibri"/>
                <w:strike/>
                <w:color w:val="000000"/>
                <w:sz w:val="17"/>
                <w:szCs w:val="17"/>
                <w:highlight w:val="yellow"/>
                <w:lang w:val="es-MX"/>
              </w:rPr>
            </w:pPr>
            <w:r>
              <w:rPr>
                <w:rFonts w:ascii="Century Gothic" w:hAnsi="Century Gothic" w:cs="Calibri"/>
                <w:color w:val="000000"/>
                <w:sz w:val="18"/>
                <w:szCs w:val="18"/>
              </w:rPr>
              <w:t>$78,080,222.10</w:t>
            </w:r>
          </w:p>
        </w:tc>
        <w:tc>
          <w:tcPr>
            <w:tcW w:w="846" w:type="pct"/>
            <w:tcBorders>
              <w:top w:val="nil"/>
              <w:left w:val="nil"/>
              <w:bottom w:val="single" w:sz="8" w:space="0" w:color="auto"/>
              <w:right w:val="single" w:sz="8" w:space="0" w:color="auto"/>
            </w:tcBorders>
            <w:vAlign w:val="center"/>
          </w:tcPr>
          <w:p w:rsidR="00DD7AE4" w:rsidRPr="0050035B" w:rsidRDefault="00DD7AE4" w:rsidP="00DD7AE4">
            <w:pPr>
              <w:jc w:val="center"/>
              <w:rPr>
                <w:rFonts w:ascii="Century Gothic" w:hAnsi="Century Gothic" w:cs="Calibri"/>
                <w:strike/>
                <w:color w:val="000000"/>
                <w:sz w:val="17"/>
                <w:szCs w:val="17"/>
                <w:highlight w:val="yellow"/>
                <w:lang w:val="es-MX"/>
              </w:rPr>
            </w:pPr>
            <w:r>
              <w:rPr>
                <w:rFonts w:ascii="Century Gothic" w:hAnsi="Century Gothic" w:cs="Calibri"/>
                <w:color w:val="000000"/>
                <w:sz w:val="18"/>
                <w:szCs w:val="18"/>
              </w:rPr>
              <w:t>$76,226,930.91</w:t>
            </w:r>
          </w:p>
        </w:tc>
        <w:tc>
          <w:tcPr>
            <w:tcW w:w="1002" w:type="pct"/>
            <w:tcBorders>
              <w:top w:val="nil"/>
              <w:left w:val="nil"/>
              <w:bottom w:val="single" w:sz="8" w:space="0" w:color="auto"/>
              <w:right w:val="single" w:sz="8" w:space="0" w:color="auto"/>
            </w:tcBorders>
            <w:vAlign w:val="center"/>
          </w:tcPr>
          <w:p w:rsidR="00DD7AE4" w:rsidRPr="0050035B" w:rsidRDefault="00DD7AE4" w:rsidP="00DD7AE4">
            <w:pPr>
              <w:jc w:val="center"/>
              <w:rPr>
                <w:rFonts w:ascii="Century Gothic" w:hAnsi="Century Gothic" w:cs="Calibri"/>
                <w:strike/>
                <w:color w:val="000000"/>
                <w:sz w:val="17"/>
                <w:szCs w:val="17"/>
                <w:highlight w:val="yellow"/>
                <w:lang w:val="es-MX"/>
              </w:rPr>
            </w:pPr>
            <w:r>
              <w:rPr>
                <w:rFonts w:ascii="Century Gothic" w:hAnsi="Century Gothic" w:cs="Calibri"/>
                <w:b/>
                <w:bCs/>
                <w:color w:val="000000"/>
                <w:sz w:val="18"/>
                <w:szCs w:val="18"/>
              </w:rPr>
              <w:t>-2.37%</w:t>
            </w:r>
          </w:p>
        </w:tc>
      </w:tr>
    </w:tbl>
    <w:p w:rsidR="00842D3F" w:rsidRPr="0050035B" w:rsidRDefault="006F4F72" w:rsidP="00842D3F">
      <w:pPr>
        <w:jc w:val="center"/>
        <w:rPr>
          <w:rFonts w:ascii="Century Gothic" w:hAnsi="Century Gothic"/>
          <w:sz w:val="22"/>
          <w:szCs w:val="22"/>
          <w:lang w:val="es-MX"/>
        </w:rPr>
      </w:pPr>
      <w:r w:rsidRPr="0050035B">
        <w:rPr>
          <w:rFonts w:ascii="Century Gothic" w:hAnsi="Century Gothic"/>
          <w:b/>
          <w:sz w:val="22"/>
          <w:szCs w:val="22"/>
          <w:lang w:val="es-MX"/>
        </w:rPr>
        <w:t xml:space="preserve"> </w:t>
      </w:r>
      <w:r w:rsidR="003C57FD" w:rsidRPr="0050035B">
        <w:rPr>
          <w:rFonts w:ascii="Century Gothic" w:hAnsi="Century Gothic"/>
          <w:b/>
          <w:sz w:val="22"/>
          <w:szCs w:val="22"/>
          <w:lang w:val="es-MX"/>
        </w:rPr>
        <w:t>Tabla 4.8</w:t>
      </w:r>
      <w:r w:rsidR="005267A7" w:rsidRPr="0050035B">
        <w:rPr>
          <w:rFonts w:ascii="Century Gothic" w:hAnsi="Century Gothic"/>
          <w:b/>
          <w:sz w:val="22"/>
          <w:szCs w:val="22"/>
          <w:lang w:val="es-MX"/>
        </w:rPr>
        <w:t>.</w:t>
      </w:r>
      <w:r w:rsidR="00842D3F" w:rsidRPr="0050035B">
        <w:rPr>
          <w:rFonts w:ascii="Century Gothic" w:hAnsi="Century Gothic"/>
          <w:b/>
          <w:sz w:val="22"/>
          <w:szCs w:val="22"/>
          <w:lang w:val="es-MX"/>
        </w:rPr>
        <w:t xml:space="preserve"> </w:t>
      </w:r>
      <w:r w:rsidR="00842D3F" w:rsidRPr="0050035B">
        <w:rPr>
          <w:rFonts w:ascii="Century Gothic" w:hAnsi="Century Gothic"/>
          <w:sz w:val="22"/>
          <w:szCs w:val="22"/>
          <w:lang w:val="es-MX"/>
        </w:rPr>
        <w:t>Comparativa de ingresos presupuestados por concepto de Transferencias, Asignaciones, Subsidios y otras Ayudas</w:t>
      </w:r>
      <w:r w:rsidRPr="0050035B">
        <w:rPr>
          <w:rFonts w:ascii="Century Gothic" w:hAnsi="Century Gothic"/>
          <w:sz w:val="22"/>
          <w:szCs w:val="22"/>
          <w:lang w:val="es-MX"/>
        </w:rPr>
        <w:t xml:space="preserve"> (20</w:t>
      </w:r>
      <w:r w:rsidR="00DD7AE4">
        <w:rPr>
          <w:rFonts w:ascii="Century Gothic" w:hAnsi="Century Gothic"/>
          <w:sz w:val="22"/>
          <w:szCs w:val="22"/>
          <w:lang w:val="es-MX"/>
        </w:rPr>
        <w:t>20</w:t>
      </w:r>
      <w:r w:rsidR="00645B25" w:rsidRPr="0050035B">
        <w:rPr>
          <w:rFonts w:ascii="Century Gothic" w:hAnsi="Century Gothic"/>
          <w:sz w:val="22"/>
          <w:szCs w:val="22"/>
          <w:lang w:val="es-MX"/>
        </w:rPr>
        <w:t xml:space="preserve"> – 202</w:t>
      </w:r>
      <w:r w:rsidR="00DD7AE4">
        <w:rPr>
          <w:rFonts w:ascii="Century Gothic" w:hAnsi="Century Gothic"/>
          <w:sz w:val="22"/>
          <w:szCs w:val="22"/>
          <w:lang w:val="es-MX"/>
        </w:rPr>
        <w:t>2</w:t>
      </w:r>
      <w:r w:rsidR="009D484B" w:rsidRPr="0050035B">
        <w:rPr>
          <w:rFonts w:ascii="Century Gothic" w:hAnsi="Century Gothic"/>
          <w:sz w:val="22"/>
          <w:szCs w:val="22"/>
          <w:lang w:val="es-MX"/>
        </w:rPr>
        <w:t>)</w:t>
      </w:r>
    </w:p>
    <w:p w:rsidR="00704D04" w:rsidRPr="0050035B" w:rsidRDefault="00704D04" w:rsidP="00DF31E3">
      <w:pPr>
        <w:ind w:firstLine="720"/>
        <w:jc w:val="both"/>
        <w:rPr>
          <w:rFonts w:ascii="Century Gothic" w:hAnsi="Century Gothic"/>
          <w:sz w:val="20"/>
          <w:szCs w:val="20"/>
          <w:lang w:val="es-MX"/>
        </w:rPr>
      </w:pPr>
      <w:r w:rsidRPr="0050035B">
        <w:rPr>
          <w:rFonts w:ascii="Century Gothic" w:hAnsi="Century Gothic"/>
          <w:b/>
          <w:sz w:val="20"/>
          <w:szCs w:val="20"/>
          <w:lang w:val="es-MX"/>
        </w:rPr>
        <w:t>Fuente</w:t>
      </w:r>
      <w:r w:rsidRPr="0050035B">
        <w:rPr>
          <w:rFonts w:ascii="Century Gothic" w:hAnsi="Century Gothic"/>
          <w:sz w:val="20"/>
          <w:szCs w:val="20"/>
          <w:lang w:val="es-MX"/>
        </w:rPr>
        <w:t>: Elaboración propia, 20</w:t>
      </w:r>
      <w:r w:rsidR="00645B25" w:rsidRPr="0050035B">
        <w:rPr>
          <w:rFonts w:ascii="Century Gothic" w:hAnsi="Century Gothic"/>
          <w:sz w:val="20"/>
          <w:szCs w:val="20"/>
          <w:lang w:val="es-MX"/>
        </w:rPr>
        <w:t>2</w:t>
      </w:r>
      <w:r w:rsidR="00DD7AE4">
        <w:rPr>
          <w:rFonts w:ascii="Century Gothic" w:hAnsi="Century Gothic"/>
          <w:sz w:val="20"/>
          <w:szCs w:val="20"/>
          <w:lang w:val="es-MX"/>
        </w:rPr>
        <w:t>1</w:t>
      </w:r>
      <w:r w:rsidRPr="0050035B">
        <w:rPr>
          <w:rFonts w:ascii="Century Gothic" w:hAnsi="Century Gothic"/>
          <w:sz w:val="20"/>
          <w:szCs w:val="20"/>
          <w:lang w:val="es-MX"/>
        </w:rPr>
        <w:t>.</w:t>
      </w:r>
    </w:p>
    <w:p w:rsidR="00842D3F" w:rsidRPr="0050035B" w:rsidRDefault="00842D3F" w:rsidP="00842D3F">
      <w:pPr>
        <w:spacing w:line="360" w:lineRule="auto"/>
        <w:jc w:val="both"/>
        <w:rPr>
          <w:rFonts w:ascii="Century Gothic" w:hAnsi="Century Gothic"/>
          <w:b/>
          <w:sz w:val="18"/>
          <w:szCs w:val="18"/>
          <w:lang w:val="es-MX"/>
        </w:rPr>
      </w:pPr>
    </w:p>
    <w:p w:rsidR="00842D3F" w:rsidRPr="0050035B" w:rsidRDefault="00842D3F" w:rsidP="00462C17">
      <w:pPr>
        <w:rPr>
          <w:rFonts w:ascii="Century Gothic" w:hAnsi="Century Gothic"/>
          <w:lang w:val="es-MX"/>
        </w:rPr>
      </w:pPr>
    </w:p>
    <w:p w:rsidR="00842D3F" w:rsidRPr="0050035B" w:rsidRDefault="00842D3F">
      <w:pPr>
        <w:rPr>
          <w:rFonts w:ascii="Century Gothic" w:hAnsi="Century Gothic"/>
          <w:b/>
          <w:lang w:val="es-MX"/>
        </w:rPr>
      </w:pPr>
      <w:r w:rsidRPr="0050035B">
        <w:rPr>
          <w:rFonts w:ascii="Century Gothic" w:hAnsi="Century Gothic"/>
          <w:b/>
          <w:lang w:val="es-MX"/>
        </w:rPr>
        <w:br w:type="page"/>
      </w:r>
    </w:p>
    <w:p w:rsidR="002A1629" w:rsidRPr="0050035B" w:rsidRDefault="005267A7" w:rsidP="00462C17">
      <w:pPr>
        <w:rPr>
          <w:rFonts w:ascii="Century Gothic" w:hAnsi="Century Gothic"/>
          <w:b/>
          <w:lang w:val="es-MX"/>
        </w:rPr>
      </w:pPr>
      <w:r w:rsidRPr="0050035B">
        <w:rPr>
          <w:rFonts w:ascii="Century Gothic" w:hAnsi="Century Gothic"/>
          <w:b/>
          <w:lang w:val="es-MX"/>
        </w:rPr>
        <w:lastRenderedPageBreak/>
        <w:t>4.</w:t>
      </w:r>
      <w:r w:rsidR="006B001C" w:rsidRPr="0050035B">
        <w:rPr>
          <w:rFonts w:ascii="Century Gothic" w:hAnsi="Century Gothic"/>
          <w:b/>
          <w:lang w:val="es-MX"/>
        </w:rPr>
        <w:t>6</w:t>
      </w:r>
      <w:r w:rsidR="00462C17" w:rsidRPr="0050035B">
        <w:rPr>
          <w:rFonts w:ascii="Century Gothic" w:hAnsi="Century Gothic"/>
          <w:b/>
          <w:lang w:val="es-MX"/>
        </w:rPr>
        <w:t xml:space="preserve">. </w:t>
      </w:r>
      <w:r w:rsidR="00D54D0A" w:rsidRPr="0050035B">
        <w:rPr>
          <w:rFonts w:ascii="Century Gothic" w:hAnsi="Century Gothic"/>
          <w:b/>
          <w:lang w:val="es-MX"/>
        </w:rPr>
        <w:t>Resumen General</w:t>
      </w:r>
    </w:p>
    <w:p w:rsidR="00696541" w:rsidRPr="0050035B" w:rsidRDefault="00696541">
      <w:pPr>
        <w:rPr>
          <w:rFonts w:ascii="Century Gothic" w:hAnsi="Century Gothic"/>
          <w:b/>
          <w:lang w:val="es-MX"/>
        </w:rPr>
      </w:pPr>
    </w:p>
    <w:p w:rsidR="00A16BF0" w:rsidRPr="0050035B" w:rsidRDefault="00A16BF0" w:rsidP="002B2666">
      <w:pPr>
        <w:jc w:val="center"/>
        <w:rPr>
          <w:rFonts w:ascii="Century Gothic" w:hAnsi="Century Gothic"/>
          <w:lang w:val="es-MX"/>
        </w:rPr>
      </w:pPr>
    </w:p>
    <w:p w:rsidR="00333FD5" w:rsidRPr="0050035B" w:rsidRDefault="0021770B" w:rsidP="00713CB5">
      <w:pPr>
        <w:spacing w:line="360" w:lineRule="auto"/>
        <w:jc w:val="both"/>
        <w:rPr>
          <w:rFonts w:ascii="Century Gothic" w:hAnsi="Century Gothic"/>
          <w:lang w:val="es-MX"/>
        </w:rPr>
      </w:pPr>
      <w:r w:rsidRPr="0050035B">
        <w:rPr>
          <w:rFonts w:ascii="Century Gothic" w:hAnsi="Century Gothic"/>
          <w:lang w:val="es-MX"/>
        </w:rPr>
        <w:t xml:space="preserve">A manera de conclusión el </w:t>
      </w:r>
      <w:r w:rsidR="00713CB5" w:rsidRPr="0050035B">
        <w:rPr>
          <w:rFonts w:ascii="Century Gothic" w:hAnsi="Century Gothic"/>
          <w:lang w:val="es-MX"/>
        </w:rPr>
        <w:t>Proyecto de Presupuesto de Ley de Ingresos que</w:t>
      </w:r>
      <w:r w:rsidRPr="0050035B">
        <w:rPr>
          <w:rFonts w:ascii="Century Gothic" w:hAnsi="Century Gothic"/>
          <w:lang w:val="es-MX"/>
        </w:rPr>
        <w:t xml:space="preserve"> aquí </w:t>
      </w:r>
      <w:r w:rsidR="00713CB5" w:rsidRPr="0050035B">
        <w:rPr>
          <w:rFonts w:ascii="Century Gothic" w:hAnsi="Century Gothic"/>
          <w:lang w:val="es-MX"/>
        </w:rPr>
        <w:t>ha sido presentado se sintetiza de la siguiente forma:</w:t>
      </w:r>
    </w:p>
    <w:tbl>
      <w:tblPr>
        <w:tblpPr w:leftFromText="141" w:rightFromText="141" w:vertAnchor="text" w:horzAnchor="margin" w:tblpY="317"/>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15"/>
        <w:gridCol w:w="1955"/>
        <w:gridCol w:w="1843"/>
        <w:gridCol w:w="2268"/>
      </w:tblGrid>
      <w:tr w:rsidR="005E054D" w:rsidRPr="0050035B" w:rsidTr="00E44364">
        <w:trPr>
          <w:trHeight w:val="609"/>
        </w:trPr>
        <w:tc>
          <w:tcPr>
            <w:tcW w:w="3215" w:type="dxa"/>
            <w:shd w:val="clear" w:color="auto" w:fill="FABF8F" w:themeFill="accent6" w:themeFillTint="99"/>
            <w:vAlign w:val="center"/>
            <w:hideMark/>
          </w:tcPr>
          <w:p w:rsidR="005E054D" w:rsidRPr="00E44364" w:rsidRDefault="005E054D" w:rsidP="005E054D">
            <w:pPr>
              <w:jc w:val="center"/>
              <w:rPr>
                <w:rFonts w:ascii="Century Gothic" w:eastAsia="Times New Roman" w:hAnsi="Century Gothic" w:cs="Calibri"/>
                <w:b/>
                <w:bCs/>
                <w:color w:val="000000" w:themeColor="text1"/>
                <w:sz w:val="18"/>
                <w:szCs w:val="18"/>
                <w:lang w:val="es-MX" w:eastAsia="es-MX"/>
              </w:rPr>
            </w:pPr>
            <w:r w:rsidRPr="00E44364">
              <w:rPr>
                <w:rFonts w:ascii="Century Gothic" w:eastAsia="Times New Roman" w:hAnsi="Century Gothic" w:cs="Calibri"/>
                <w:b/>
                <w:bCs/>
                <w:color w:val="000000" w:themeColor="text1"/>
                <w:sz w:val="18"/>
                <w:szCs w:val="18"/>
                <w:lang w:val="es-MX" w:eastAsia="es-MX"/>
              </w:rPr>
              <w:t>Tipo de Ingreso</w:t>
            </w:r>
          </w:p>
        </w:tc>
        <w:tc>
          <w:tcPr>
            <w:tcW w:w="1955" w:type="dxa"/>
            <w:shd w:val="clear" w:color="auto" w:fill="FABF8F" w:themeFill="accent6" w:themeFillTint="99"/>
            <w:vAlign w:val="center"/>
            <w:hideMark/>
          </w:tcPr>
          <w:p w:rsidR="005E054D" w:rsidRPr="002418AE" w:rsidRDefault="005E054D" w:rsidP="00645B25">
            <w:pPr>
              <w:jc w:val="center"/>
              <w:rPr>
                <w:rFonts w:ascii="Century Gothic" w:eastAsia="Times New Roman" w:hAnsi="Century Gothic" w:cs="Calibri"/>
                <w:b/>
                <w:bCs/>
                <w:color w:val="000000" w:themeColor="text1"/>
                <w:sz w:val="18"/>
                <w:szCs w:val="18"/>
                <w:highlight w:val="yellow"/>
                <w:lang w:val="es-MX" w:eastAsia="es-MX"/>
              </w:rPr>
            </w:pPr>
            <w:r w:rsidRPr="00B40612">
              <w:rPr>
                <w:rFonts w:ascii="Century Gothic" w:hAnsi="Century Gothic"/>
                <w:b/>
                <w:color w:val="000000" w:themeColor="text1"/>
                <w:sz w:val="18"/>
                <w:szCs w:val="16"/>
                <w:lang w:val="es-MX"/>
              </w:rPr>
              <w:t>Presupuesto aprobado 20</w:t>
            </w:r>
            <w:r w:rsidR="00645B25" w:rsidRPr="00B40612">
              <w:rPr>
                <w:rFonts w:ascii="Century Gothic" w:hAnsi="Century Gothic"/>
                <w:b/>
                <w:color w:val="000000" w:themeColor="text1"/>
                <w:sz w:val="18"/>
                <w:szCs w:val="16"/>
                <w:lang w:val="es-MX"/>
              </w:rPr>
              <w:t>2</w:t>
            </w:r>
            <w:r w:rsidR="005606EA" w:rsidRPr="00B40612">
              <w:rPr>
                <w:rFonts w:ascii="Century Gothic" w:hAnsi="Century Gothic"/>
                <w:b/>
                <w:color w:val="000000" w:themeColor="text1"/>
                <w:sz w:val="18"/>
                <w:szCs w:val="16"/>
                <w:lang w:val="es-MX"/>
              </w:rPr>
              <w:t>1</w:t>
            </w:r>
          </w:p>
        </w:tc>
        <w:tc>
          <w:tcPr>
            <w:tcW w:w="1843" w:type="dxa"/>
            <w:shd w:val="clear" w:color="auto" w:fill="FABF8F" w:themeFill="accent6" w:themeFillTint="99"/>
            <w:noWrap/>
            <w:vAlign w:val="center"/>
            <w:hideMark/>
          </w:tcPr>
          <w:p w:rsidR="005E054D" w:rsidRPr="00E44364" w:rsidRDefault="005E054D" w:rsidP="00645B25">
            <w:pPr>
              <w:jc w:val="center"/>
              <w:rPr>
                <w:rFonts w:ascii="Century Gothic" w:eastAsia="Times New Roman" w:hAnsi="Century Gothic" w:cs="Calibri"/>
                <w:b/>
                <w:bCs/>
                <w:color w:val="000000" w:themeColor="text1"/>
                <w:sz w:val="18"/>
                <w:szCs w:val="18"/>
                <w:lang w:val="es-MX" w:eastAsia="es-MX"/>
              </w:rPr>
            </w:pPr>
            <w:r w:rsidRPr="00E44364">
              <w:rPr>
                <w:rFonts w:ascii="Century Gothic" w:eastAsia="Times New Roman" w:hAnsi="Century Gothic" w:cs="Arial"/>
                <w:b/>
                <w:color w:val="000000" w:themeColor="text1"/>
                <w:sz w:val="18"/>
                <w:szCs w:val="16"/>
                <w:lang w:val="es-MX" w:eastAsia="es-MX"/>
              </w:rPr>
              <w:t>Proyecto de Presupuesto 202</w:t>
            </w:r>
            <w:r w:rsidR="005606EA" w:rsidRPr="00E44364">
              <w:rPr>
                <w:rFonts w:ascii="Century Gothic" w:eastAsia="Times New Roman" w:hAnsi="Century Gothic" w:cs="Arial"/>
                <w:b/>
                <w:color w:val="000000" w:themeColor="text1"/>
                <w:sz w:val="18"/>
                <w:szCs w:val="16"/>
                <w:lang w:val="es-MX" w:eastAsia="es-MX"/>
              </w:rPr>
              <w:t>2</w:t>
            </w:r>
          </w:p>
        </w:tc>
        <w:tc>
          <w:tcPr>
            <w:tcW w:w="2268" w:type="dxa"/>
            <w:shd w:val="clear" w:color="auto" w:fill="FABF8F" w:themeFill="accent6" w:themeFillTint="99"/>
            <w:vAlign w:val="center"/>
          </w:tcPr>
          <w:p w:rsidR="005E054D" w:rsidRPr="00E44364" w:rsidRDefault="005E054D" w:rsidP="00645B25">
            <w:pPr>
              <w:jc w:val="center"/>
              <w:rPr>
                <w:rFonts w:ascii="Century Gothic" w:eastAsia="Times New Roman" w:hAnsi="Century Gothic" w:cs="Calibri"/>
                <w:b/>
                <w:bCs/>
                <w:color w:val="000000" w:themeColor="text1"/>
                <w:sz w:val="18"/>
                <w:szCs w:val="18"/>
                <w:lang w:val="es-MX" w:eastAsia="es-MX"/>
              </w:rPr>
            </w:pPr>
            <w:r w:rsidRPr="00E44364">
              <w:rPr>
                <w:rFonts w:ascii="Century Gothic" w:eastAsia="Times New Roman" w:hAnsi="Century Gothic" w:cs="Arial"/>
                <w:b/>
                <w:color w:val="000000" w:themeColor="text1"/>
                <w:sz w:val="16"/>
                <w:szCs w:val="16"/>
                <w:lang w:val="es-MX" w:eastAsia="es-MX"/>
              </w:rPr>
              <w:t>Tasa de Crecimiento (TdC) 202</w:t>
            </w:r>
            <w:r w:rsidR="00D72C42" w:rsidRPr="00E44364">
              <w:rPr>
                <w:rFonts w:ascii="Century Gothic" w:eastAsia="Times New Roman" w:hAnsi="Century Gothic" w:cs="Arial"/>
                <w:b/>
                <w:color w:val="000000" w:themeColor="text1"/>
                <w:sz w:val="16"/>
                <w:szCs w:val="16"/>
                <w:lang w:val="es-MX" w:eastAsia="es-MX"/>
              </w:rPr>
              <w:t>2</w:t>
            </w:r>
            <w:r w:rsidRPr="00E44364">
              <w:rPr>
                <w:rFonts w:ascii="Century Gothic" w:eastAsia="Times New Roman" w:hAnsi="Century Gothic" w:cs="Arial"/>
                <w:b/>
                <w:color w:val="000000" w:themeColor="text1"/>
                <w:sz w:val="16"/>
                <w:szCs w:val="16"/>
                <w:lang w:val="es-MX" w:eastAsia="es-MX"/>
              </w:rPr>
              <w:t xml:space="preserve"> respecto 20</w:t>
            </w:r>
            <w:r w:rsidR="00645B25" w:rsidRPr="00E44364">
              <w:rPr>
                <w:rFonts w:ascii="Century Gothic" w:eastAsia="Times New Roman" w:hAnsi="Century Gothic" w:cs="Arial"/>
                <w:b/>
                <w:color w:val="000000" w:themeColor="text1"/>
                <w:sz w:val="16"/>
                <w:szCs w:val="16"/>
                <w:lang w:val="es-MX" w:eastAsia="es-MX"/>
              </w:rPr>
              <w:t>2</w:t>
            </w:r>
            <w:r w:rsidR="005606EA" w:rsidRPr="00E44364">
              <w:rPr>
                <w:rFonts w:ascii="Century Gothic" w:eastAsia="Times New Roman" w:hAnsi="Century Gothic" w:cs="Arial"/>
                <w:b/>
                <w:color w:val="000000" w:themeColor="text1"/>
                <w:sz w:val="16"/>
                <w:szCs w:val="16"/>
                <w:lang w:val="es-MX" w:eastAsia="es-MX"/>
              </w:rPr>
              <w:t>1</w:t>
            </w:r>
          </w:p>
        </w:tc>
      </w:tr>
      <w:tr w:rsidR="00B40612" w:rsidRPr="0050035B" w:rsidTr="000B1A05">
        <w:trPr>
          <w:trHeight w:val="511"/>
        </w:trPr>
        <w:tc>
          <w:tcPr>
            <w:tcW w:w="3215" w:type="dxa"/>
            <w:shd w:val="clear" w:color="auto" w:fill="BFBFBF" w:themeFill="background1" w:themeFillShade="BF"/>
            <w:vAlign w:val="center"/>
            <w:hideMark/>
          </w:tcPr>
          <w:p w:rsidR="00B40612" w:rsidRPr="0050035B" w:rsidRDefault="00B40612" w:rsidP="00B40612">
            <w:pPr>
              <w:jc w:val="center"/>
              <w:rPr>
                <w:rFonts w:ascii="Century Gothic" w:eastAsia="Times New Roman" w:hAnsi="Century Gothic" w:cs="Calibri"/>
                <w:b/>
                <w:bCs/>
                <w:color w:val="000000" w:themeColor="text1"/>
                <w:sz w:val="18"/>
                <w:szCs w:val="18"/>
                <w:lang w:val="es-MX" w:eastAsia="es-MX"/>
              </w:rPr>
            </w:pPr>
            <w:r w:rsidRPr="0050035B">
              <w:rPr>
                <w:rFonts w:ascii="Century Gothic" w:eastAsia="Times New Roman" w:hAnsi="Century Gothic" w:cs="Calibri"/>
                <w:b/>
                <w:bCs/>
                <w:color w:val="000000" w:themeColor="text1"/>
                <w:sz w:val="18"/>
                <w:szCs w:val="18"/>
                <w:lang w:val="es-MX" w:eastAsia="es-MX"/>
              </w:rPr>
              <w:t>Ingresos Propios</w:t>
            </w:r>
          </w:p>
        </w:tc>
        <w:tc>
          <w:tcPr>
            <w:tcW w:w="1955" w:type="dxa"/>
            <w:shd w:val="clear" w:color="auto" w:fill="BFBFBF" w:themeFill="background1" w:themeFillShade="BF"/>
            <w:vAlign w:val="center"/>
            <w:hideMark/>
          </w:tcPr>
          <w:p w:rsidR="00B40612" w:rsidRPr="002418AE" w:rsidRDefault="00B40612" w:rsidP="00B40612">
            <w:pPr>
              <w:jc w:val="right"/>
              <w:rPr>
                <w:rFonts w:ascii="Century Gothic" w:eastAsia="Times New Roman" w:hAnsi="Century Gothic" w:cs="Calibri"/>
                <w:b/>
                <w:strike/>
                <w:sz w:val="20"/>
                <w:szCs w:val="18"/>
                <w:highlight w:val="yellow"/>
                <w:lang w:val="es-MX" w:eastAsia="es-MX"/>
              </w:rPr>
            </w:pPr>
            <w:r>
              <w:rPr>
                <w:rFonts w:ascii="Century Gothic" w:hAnsi="Century Gothic" w:cs="Calibri"/>
                <w:b/>
                <w:bCs/>
                <w:color w:val="000000"/>
                <w:sz w:val="18"/>
                <w:szCs w:val="18"/>
              </w:rPr>
              <w:t>$2,696,982,368.95</w:t>
            </w:r>
          </w:p>
        </w:tc>
        <w:tc>
          <w:tcPr>
            <w:tcW w:w="1843" w:type="dxa"/>
            <w:shd w:val="clear" w:color="auto" w:fill="BFBFBF" w:themeFill="background1" w:themeFillShade="BF"/>
            <w:noWrap/>
            <w:vAlign w:val="center"/>
            <w:hideMark/>
          </w:tcPr>
          <w:p w:rsidR="00B40612" w:rsidRPr="0050035B" w:rsidRDefault="00B40612" w:rsidP="00B40612">
            <w:pPr>
              <w:jc w:val="right"/>
              <w:rPr>
                <w:rFonts w:ascii="Century Gothic" w:hAnsi="Century Gothic" w:cs="Calibri"/>
                <w:b/>
                <w:bCs/>
                <w:strike/>
                <w:color w:val="000000"/>
                <w:sz w:val="20"/>
                <w:szCs w:val="18"/>
                <w:highlight w:val="yellow"/>
                <w:lang w:val="es-MX"/>
              </w:rPr>
            </w:pPr>
            <w:r>
              <w:rPr>
                <w:rFonts w:ascii="Century Gothic" w:hAnsi="Century Gothic" w:cs="Calibri"/>
                <w:b/>
                <w:bCs/>
                <w:color w:val="000000"/>
                <w:sz w:val="18"/>
                <w:szCs w:val="18"/>
              </w:rPr>
              <w:t>$2,907,750,541.46</w:t>
            </w:r>
          </w:p>
        </w:tc>
        <w:tc>
          <w:tcPr>
            <w:tcW w:w="2268" w:type="dxa"/>
            <w:shd w:val="clear" w:color="auto" w:fill="BFBFBF" w:themeFill="background1" w:themeFillShade="BF"/>
            <w:vAlign w:val="center"/>
          </w:tcPr>
          <w:p w:rsidR="00B40612" w:rsidRPr="0050035B" w:rsidRDefault="00B40612" w:rsidP="00B40612">
            <w:pPr>
              <w:jc w:val="center"/>
              <w:rPr>
                <w:rFonts w:ascii="Century Gothic" w:hAnsi="Century Gothic" w:cs="Calibri"/>
                <w:b/>
                <w:bCs/>
                <w:strike/>
                <w:color w:val="000000"/>
                <w:sz w:val="20"/>
                <w:szCs w:val="18"/>
                <w:highlight w:val="yellow"/>
                <w:lang w:val="es-MX"/>
              </w:rPr>
            </w:pPr>
            <w:r>
              <w:rPr>
                <w:rFonts w:ascii="Century Gothic" w:hAnsi="Century Gothic" w:cs="Calibri"/>
                <w:b/>
                <w:bCs/>
                <w:color w:val="000000"/>
                <w:sz w:val="18"/>
                <w:szCs w:val="18"/>
              </w:rPr>
              <w:t>7.81%</w:t>
            </w:r>
          </w:p>
        </w:tc>
      </w:tr>
      <w:tr w:rsidR="00B40612" w:rsidRPr="0050035B" w:rsidTr="000B1A05">
        <w:trPr>
          <w:trHeight w:val="547"/>
        </w:trPr>
        <w:tc>
          <w:tcPr>
            <w:tcW w:w="3215" w:type="dxa"/>
            <w:shd w:val="clear" w:color="000000" w:fill="auto"/>
            <w:vAlign w:val="center"/>
            <w:hideMark/>
          </w:tcPr>
          <w:p w:rsidR="00B40612" w:rsidRPr="0050035B" w:rsidRDefault="00B40612" w:rsidP="00B40612">
            <w:pPr>
              <w:jc w:val="center"/>
              <w:rPr>
                <w:rFonts w:ascii="Century Gothic" w:eastAsia="Times New Roman" w:hAnsi="Century Gothic" w:cs="Calibri"/>
                <w:i/>
                <w:sz w:val="18"/>
                <w:szCs w:val="18"/>
                <w:lang w:val="es-MX" w:eastAsia="es-MX"/>
              </w:rPr>
            </w:pPr>
            <w:r w:rsidRPr="0050035B">
              <w:rPr>
                <w:rFonts w:ascii="Century Gothic" w:eastAsia="Times New Roman" w:hAnsi="Century Gothic" w:cs="Calibri"/>
                <w:i/>
                <w:sz w:val="18"/>
                <w:szCs w:val="18"/>
                <w:lang w:val="es-MX" w:eastAsia="es-MX"/>
              </w:rPr>
              <w:t>Impuestos</w:t>
            </w:r>
          </w:p>
        </w:tc>
        <w:tc>
          <w:tcPr>
            <w:tcW w:w="1955" w:type="dxa"/>
            <w:shd w:val="clear" w:color="auto" w:fill="auto"/>
            <w:vAlign w:val="center"/>
            <w:hideMark/>
          </w:tcPr>
          <w:p w:rsidR="00B40612" w:rsidRPr="002418AE" w:rsidRDefault="00B40612" w:rsidP="00B40612">
            <w:pPr>
              <w:jc w:val="right"/>
              <w:rPr>
                <w:rFonts w:ascii="Century Gothic" w:eastAsia="Times New Roman" w:hAnsi="Century Gothic" w:cs="Calibri"/>
                <w:strike/>
                <w:sz w:val="20"/>
                <w:szCs w:val="18"/>
                <w:highlight w:val="yellow"/>
                <w:lang w:val="es-MX" w:eastAsia="es-MX"/>
              </w:rPr>
            </w:pPr>
            <w:r>
              <w:rPr>
                <w:rFonts w:ascii="Century Gothic" w:hAnsi="Century Gothic" w:cs="Calibri"/>
                <w:color w:val="000000"/>
                <w:sz w:val="18"/>
                <w:szCs w:val="18"/>
              </w:rPr>
              <w:t>$1,982,069,667.01</w:t>
            </w:r>
          </w:p>
        </w:tc>
        <w:tc>
          <w:tcPr>
            <w:tcW w:w="1843" w:type="dxa"/>
            <w:shd w:val="clear" w:color="auto" w:fill="auto"/>
            <w:noWrap/>
            <w:vAlign w:val="center"/>
            <w:hideMark/>
          </w:tcPr>
          <w:p w:rsidR="00B40612" w:rsidRPr="0050035B" w:rsidRDefault="00B40612" w:rsidP="00B40612">
            <w:pPr>
              <w:jc w:val="right"/>
              <w:rPr>
                <w:rFonts w:ascii="Century Gothic" w:eastAsia="Times New Roman" w:hAnsi="Century Gothic" w:cs="Calibri"/>
                <w:strike/>
                <w:sz w:val="20"/>
                <w:szCs w:val="18"/>
                <w:highlight w:val="yellow"/>
                <w:lang w:val="es-MX" w:eastAsia="es-MX"/>
              </w:rPr>
            </w:pPr>
            <w:r>
              <w:rPr>
                <w:rFonts w:ascii="Century Gothic" w:hAnsi="Century Gothic" w:cs="Calibri"/>
                <w:color w:val="000000"/>
                <w:sz w:val="18"/>
                <w:szCs w:val="18"/>
              </w:rPr>
              <w:t>$2,281,770,937.58</w:t>
            </w:r>
          </w:p>
        </w:tc>
        <w:tc>
          <w:tcPr>
            <w:tcW w:w="2268" w:type="dxa"/>
            <w:vAlign w:val="center"/>
          </w:tcPr>
          <w:p w:rsidR="00B40612" w:rsidRPr="0050035B" w:rsidRDefault="00B40612" w:rsidP="00B40612">
            <w:pPr>
              <w:jc w:val="center"/>
              <w:rPr>
                <w:rFonts w:ascii="Century Gothic" w:hAnsi="Century Gothic" w:cs="Calibri"/>
                <w:strike/>
                <w:color w:val="000000"/>
                <w:sz w:val="20"/>
                <w:szCs w:val="18"/>
                <w:highlight w:val="yellow"/>
                <w:lang w:val="es-MX"/>
              </w:rPr>
            </w:pPr>
            <w:r>
              <w:rPr>
                <w:rFonts w:ascii="Century Gothic" w:hAnsi="Century Gothic" w:cs="Calibri"/>
                <w:b/>
                <w:bCs/>
                <w:color w:val="000000"/>
                <w:sz w:val="18"/>
                <w:szCs w:val="18"/>
              </w:rPr>
              <w:t>15.12%</w:t>
            </w:r>
          </w:p>
        </w:tc>
      </w:tr>
      <w:tr w:rsidR="00B40612" w:rsidRPr="0050035B" w:rsidTr="000B1A05">
        <w:trPr>
          <w:trHeight w:val="493"/>
        </w:trPr>
        <w:tc>
          <w:tcPr>
            <w:tcW w:w="3215" w:type="dxa"/>
            <w:shd w:val="clear" w:color="000000" w:fill="auto"/>
            <w:vAlign w:val="center"/>
            <w:hideMark/>
          </w:tcPr>
          <w:p w:rsidR="00B40612" w:rsidRPr="0050035B" w:rsidRDefault="00B40612" w:rsidP="00B40612">
            <w:pPr>
              <w:jc w:val="center"/>
              <w:rPr>
                <w:rFonts w:ascii="Century Gothic" w:eastAsia="Times New Roman" w:hAnsi="Century Gothic" w:cs="Calibri"/>
                <w:i/>
                <w:sz w:val="18"/>
                <w:szCs w:val="18"/>
                <w:lang w:val="es-MX" w:eastAsia="es-MX"/>
              </w:rPr>
            </w:pPr>
            <w:r w:rsidRPr="0050035B">
              <w:rPr>
                <w:rFonts w:ascii="Century Gothic" w:eastAsia="Times New Roman" w:hAnsi="Century Gothic" w:cs="Calibri"/>
                <w:i/>
                <w:sz w:val="18"/>
                <w:szCs w:val="18"/>
                <w:lang w:val="es-MX" w:eastAsia="es-MX"/>
              </w:rPr>
              <w:t>Contribuciones de Mejoras</w:t>
            </w:r>
          </w:p>
        </w:tc>
        <w:tc>
          <w:tcPr>
            <w:tcW w:w="1955" w:type="dxa"/>
            <w:shd w:val="clear" w:color="auto" w:fill="auto"/>
            <w:vAlign w:val="center"/>
            <w:hideMark/>
          </w:tcPr>
          <w:p w:rsidR="00B40612" w:rsidRPr="002418AE" w:rsidRDefault="00B40612" w:rsidP="00B40612">
            <w:pPr>
              <w:jc w:val="right"/>
              <w:rPr>
                <w:rFonts w:ascii="Century Gothic" w:eastAsia="Times New Roman" w:hAnsi="Century Gothic" w:cs="Calibri"/>
                <w:strike/>
                <w:sz w:val="20"/>
                <w:szCs w:val="18"/>
                <w:highlight w:val="yellow"/>
                <w:lang w:val="es-MX" w:eastAsia="es-MX"/>
              </w:rPr>
            </w:pPr>
            <w:r>
              <w:rPr>
                <w:rFonts w:ascii="Century Gothic" w:hAnsi="Century Gothic" w:cs="Calibri"/>
                <w:color w:val="000000"/>
                <w:sz w:val="18"/>
                <w:szCs w:val="18"/>
              </w:rPr>
              <w:t>$0.00</w:t>
            </w:r>
          </w:p>
        </w:tc>
        <w:tc>
          <w:tcPr>
            <w:tcW w:w="1843" w:type="dxa"/>
            <w:shd w:val="clear" w:color="auto" w:fill="auto"/>
            <w:noWrap/>
            <w:vAlign w:val="center"/>
            <w:hideMark/>
          </w:tcPr>
          <w:p w:rsidR="00B40612" w:rsidRPr="0050035B" w:rsidRDefault="00B40612" w:rsidP="00B40612">
            <w:pPr>
              <w:jc w:val="right"/>
              <w:rPr>
                <w:rFonts w:ascii="Century Gothic" w:eastAsia="Times New Roman" w:hAnsi="Century Gothic" w:cs="Calibri"/>
                <w:strike/>
                <w:sz w:val="20"/>
                <w:szCs w:val="18"/>
                <w:highlight w:val="yellow"/>
                <w:lang w:val="es-MX" w:eastAsia="es-MX"/>
              </w:rPr>
            </w:pPr>
            <w:r>
              <w:rPr>
                <w:rFonts w:ascii="Century Gothic" w:hAnsi="Century Gothic" w:cs="Calibri"/>
                <w:color w:val="000000"/>
                <w:sz w:val="18"/>
                <w:szCs w:val="18"/>
              </w:rPr>
              <w:t>$0.00</w:t>
            </w:r>
          </w:p>
        </w:tc>
        <w:tc>
          <w:tcPr>
            <w:tcW w:w="2268" w:type="dxa"/>
            <w:vAlign w:val="center"/>
          </w:tcPr>
          <w:p w:rsidR="00B40612" w:rsidRPr="0050035B" w:rsidRDefault="00B40612" w:rsidP="00B40612">
            <w:pPr>
              <w:jc w:val="center"/>
              <w:rPr>
                <w:rFonts w:ascii="Century Gothic" w:hAnsi="Century Gothic" w:cs="Calibri"/>
                <w:strike/>
                <w:color w:val="000000"/>
                <w:sz w:val="20"/>
                <w:szCs w:val="18"/>
                <w:highlight w:val="yellow"/>
                <w:lang w:val="es-MX"/>
              </w:rPr>
            </w:pPr>
            <w:r>
              <w:rPr>
                <w:rFonts w:ascii="Century Gothic" w:hAnsi="Century Gothic" w:cs="Calibri"/>
                <w:b/>
                <w:bCs/>
                <w:color w:val="000000"/>
                <w:sz w:val="18"/>
                <w:szCs w:val="18"/>
              </w:rPr>
              <w:t>0.00%</w:t>
            </w:r>
          </w:p>
        </w:tc>
      </w:tr>
      <w:tr w:rsidR="00B40612" w:rsidRPr="0050035B" w:rsidTr="000B1A05">
        <w:trPr>
          <w:trHeight w:val="564"/>
        </w:trPr>
        <w:tc>
          <w:tcPr>
            <w:tcW w:w="3215" w:type="dxa"/>
            <w:shd w:val="clear" w:color="000000" w:fill="auto"/>
            <w:vAlign w:val="center"/>
            <w:hideMark/>
          </w:tcPr>
          <w:p w:rsidR="00B40612" w:rsidRPr="0050035B" w:rsidRDefault="00B40612" w:rsidP="00B40612">
            <w:pPr>
              <w:jc w:val="center"/>
              <w:rPr>
                <w:rFonts w:ascii="Century Gothic" w:eastAsia="Times New Roman" w:hAnsi="Century Gothic" w:cs="Calibri"/>
                <w:i/>
                <w:sz w:val="18"/>
                <w:szCs w:val="18"/>
                <w:lang w:val="es-MX" w:eastAsia="es-MX"/>
              </w:rPr>
            </w:pPr>
            <w:r w:rsidRPr="0050035B">
              <w:rPr>
                <w:rFonts w:ascii="Century Gothic" w:eastAsia="Times New Roman" w:hAnsi="Century Gothic" w:cs="Calibri"/>
                <w:i/>
                <w:sz w:val="18"/>
                <w:szCs w:val="18"/>
                <w:lang w:val="es-MX" w:eastAsia="es-MX"/>
              </w:rPr>
              <w:t>Derechos</w:t>
            </w:r>
          </w:p>
        </w:tc>
        <w:tc>
          <w:tcPr>
            <w:tcW w:w="1955" w:type="dxa"/>
            <w:shd w:val="clear" w:color="auto" w:fill="auto"/>
            <w:vAlign w:val="center"/>
            <w:hideMark/>
          </w:tcPr>
          <w:p w:rsidR="00B40612" w:rsidRPr="002418AE" w:rsidRDefault="00B40612" w:rsidP="00B40612">
            <w:pPr>
              <w:jc w:val="right"/>
              <w:rPr>
                <w:rFonts w:ascii="Century Gothic" w:eastAsia="Times New Roman" w:hAnsi="Century Gothic" w:cs="Calibri"/>
                <w:strike/>
                <w:sz w:val="20"/>
                <w:szCs w:val="18"/>
                <w:highlight w:val="yellow"/>
                <w:lang w:val="es-MX" w:eastAsia="es-MX"/>
              </w:rPr>
            </w:pPr>
            <w:r>
              <w:rPr>
                <w:rFonts w:ascii="Century Gothic" w:hAnsi="Century Gothic" w:cs="Calibri"/>
                <w:color w:val="000000"/>
                <w:sz w:val="18"/>
                <w:szCs w:val="18"/>
              </w:rPr>
              <w:t>$278,093,458.31</w:t>
            </w:r>
          </w:p>
        </w:tc>
        <w:tc>
          <w:tcPr>
            <w:tcW w:w="1843" w:type="dxa"/>
            <w:shd w:val="clear" w:color="auto" w:fill="auto"/>
            <w:noWrap/>
            <w:vAlign w:val="center"/>
            <w:hideMark/>
          </w:tcPr>
          <w:p w:rsidR="00B40612" w:rsidRPr="0050035B" w:rsidRDefault="00B40612" w:rsidP="00B40612">
            <w:pPr>
              <w:jc w:val="right"/>
              <w:rPr>
                <w:rFonts w:ascii="Century Gothic" w:eastAsia="Times New Roman" w:hAnsi="Century Gothic" w:cs="Calibri"/>
                <w:strike/>
                <w:sz w:val="20"/>
                <w:szCs w:val="18"/>
                <w:highlight w:val="yellow"/>
                <w:lang w:val="es-MX" w:eastAsia="es-MX"/>
              </w:rPr>
            </w:pPr>
            <w:r>
              <w:rPr>
                <w:rFonts w:ascii="Century Gothic" w:hAnsi="Century Gothic" w:cs="Calibri"/>
                <w:color w:val="000000"/>
                <w:sz w:val="18"/>
                <w:szCs w:val="18"/>
              </w:rPr>
              <w:t>$268,214,704.19</w:t>
            </w:r>
          </w:p>
        </w:tc>
        <w:tc>
          <w:tcPr>
            <w:tcW w:w="2268" w:type="dxa"/>
            <w:vAlign w:val="center"/>
          </w:tcPr>
          <w:p w:rsidR="00B40612" w:rsidRPr="0050035B" w:rsidRDefault="00B40612" w:rsidP="00B40612">
            <w:pPr>
              <w:jc w:val="center"/>
              <w:rPr>
                <w:rFonts w:ascii="Century Gothic" w:hAnsi="Century Gothic" w:cs="Calibri"/>
                <w:strike/>
                <w:color w:val="000000"/>
                <w:sz w:val="20"/>
                <w:szCs w:val="18"/>
                <w:highlight w:val="yellow"/>
                <w:lang w:val="es-MX"/>
              </w:rPr>
            </w:pPr>
            <w:r>
              <w:rPr>
                <w:rFonts w:ascii="Century Gothic" w:hAnsi="Century Gothic" w:cs="Calibri"/>
                <w:b/>
                <w:bCs/>
                <w:color w:val="000000"/>
                <w:sz w:val="18"/>
                <w:szCs w:val="18"/>
              </w:rPr>
              <w:t>-3.55%</w:t>
            </w:r>
          </w:p>
        </w:tc>
      </w:tr>
      <w:tr w:rsidR="00B40612" w:rsidRPr="0050035B" w:rsidTr="000B1A05">
        <w:trPr>
          <w:trHeight w:val="493"/>
        </w:trPr>
        <w:tc>
          <w:tcPr>
            <w:tcW w:w="3215" w:type="dxa"/>
            <w:shd w:val="clear" w:color="000000" w:fill="auto"/>
            <w:vAlign w:val="center"/>
            <w:hideMark/>
          </w:tcPr>
          <w:p w:rsidR="00B40612" w:rsidRPr="0050035B" w:rsidRDefault="00B40612" w:rsidP="00B40612">
            <w:pPr>
              <w:jc w:val="center"/>
              <w:rPr>
                <w:rFonts w:ascii="Century Gothic" w:eastAsia="Times New Roman" w:hAnsi="Century Gothic" w:cs="Calibri"/>
                <w:i/>
                <w:sz w:val="18"/>
                <w:szCs w:val="18"/>
                <w:lang w:val="es-MX" w:eastAsia="es-MX"/>
              </w:rPr>
            </w:pPr>
            <w:r w:rsidRPr="0050035B">
              <w:rPr>
                <w:rFonts w:ascii="Century Gothic" w:eastAsia="Times New Roman" w:hAnsi="Century Gothic" w:cs="Calibri"/>
                <w:i/>
                <w:sz w:val="18"/>
                <w:szCs w:val="18"/>
                <w:lang w:val="es-MX" w:eastAsia="es-MX"/>
              </w:rPr>
              <w:t xml:space="preserve">Productos </w:t>
            </w:r>
          </w:p>
        </w:tc>
        <w:tc>
          <w:tcPr>
            <w:tcW w:w="1955" w:type="dxa"/>
            <w:shd w:val="clear" w:color="auto" w:fill="auto"/>
            <w:vAlign w:val="center"/>
            <w:hideMark/>
          </w:tcPr>
          <w:p w:rsidR="00B40612" w:rsidRPr="002418AE" w:rsidRDefault="00B40612" w:rsidP="00B40612">
            <w:pPr>
              <w:jc w:val="right"/>
              <w:rPr>
                <w:rFonts w:ascii="Century Gothic" w:eastAsia="Times New Roman" w:hAnsi="Century Gothic" w:cs="Calibri"/>
                <w:strike/>
                <w:sz w:val="20"/>
                <w:szCs w:val="18"/>
                <w:highlight w:val="yellow"/>
                <w:lang w:val="es-MX" w:eastAsia="es-MX"/>
              </w:rPr>
            </w:pPr>
            <w:r>
              <w:rPr>
                <w:rFonts w:ascii="Century Gothic" w:hAnsi="Century Gothic" w:cs="Calibri"/>
                <w:color w:val="000000"/>
                <w:sz w:val="18"/>
                <w:szCs w:val="18"/>
              </w:rPr>
              <w:t>$141,702,946.36</w:t>
            </w:r>
          </w:p>
        </w:tc>
        <w:tc>
          <w:tcPr>
            <w:tcW w:w="1843" w:type="dxa"/>
            <w:shd w:val="clear" w:color="auto" w:fill="auto"/>
            <w:noWrap/>
            <w:vAlign w:val="center"/>
            <w:hideMark/>
          </w:tcPr>
          <w:p w:rsidR="00B40612" w:rsidRPr="0050035B" w:rsidRDefault="00B40612" w:rsidP="00B40612">
            <w:pPr>
              <w:jc w:val="right"/>
              <w:rPr>
                <w:rFonts w:ascii="Century Gothic" w:eastAsia="Times New Roman" w:hAnsi="Century Gothic" w:cs="Calibri"/>
                <w:strike/>
                <w:sz w:val="20"/>
                <w:szCs w:val="18"/>
                <w:highlight w:val="yellow"/>
                <w:lang w:val="es-MX" w:eastAsia="es-MX"/>
              </w:rPr>
            </w:pPr>
            <w:r>
              <w:rPr>
                <w:rFonts w:ascii="Century Gothic" w:hAnsi="Century Gothic" w:cs="Calibri"/>
                <w:color w:val="000000"/>
                <w:sz w:val="18"/>
                <w:szCs w:val="18"/>
              </w:rPr>
              <w:t>$129,665,602.07</w:t>
            </w:r>
          </w:p>
        </w:tc>
        <w:tc>
          <w:tcPr>
            <w:tcW w:w="2268" w:type="dxa"/>
            <w:vAlign w:val="center"/>
          </w:tcPr>
          <w:p w:rsidR="00B40612" w:rsidRPr="0050035B" w:rsidRDefault="00B40612" w:rsidP="00B40612">
            <w:pPr>
              <w:jc w:val="center"/>
              <w:rPr>
                <w:rFonts w:ascii="Century Gothic" w:hAnsi="Century Gothic" w:cs="Calibri"/>
                <w:strike/>
                <w:color w:val="000000"/>
                <w:sz w:val="20"/>
                <w:szCs w:val="18"/>
                <w:highlight w:val="yellow"/>
                <w:lang w:val="es-MX"/>
              </w:rPr>
            </w:pPr>
            <w:r>
              <w:rPr>
                <w:rFonts w:ascii="Century Gothic" w:hAnsi="Century Gothic" w:cs="Calibri"/>
                <w:b/>
                <w:bCs/>
                <w:color w:val="000000"/>
                <w:sz w:val="18"/>
                <w:szCs w:val="18"/>
              </w:rPr>
              <w:t>-8.49%</w:t>
            </w:r>
          </w:p>
        </w:tc>
      </w:tr>
      <w:tr w:rsidR="00B40612" w:rsidRPr="0050035B" w:rsidTr="000B1A05">
        <w:trPr>
          <w:trHeight w:val="493"/>
        </w:trPr>
        <w:tc>
          <w:tcPr>
            <w:tcW w:w="3215" w:type="dxa"/>
            <w:shd w:val="clear" w:color="000000" w:fill="auto"/>
            <w:vAlign w:val="center"/>
            <w:hideMark/>
          </w:tcPr>
          <w:p w:rsidR="00B40612" w:rsidRPr="0050035B" w:rsidRDefault="00B40612" w:rsidP="00B40612">
            <w:pPr>
              <w:jc w:val="center"/>
              <w:rPr>
                <w:rFonts w:ascii="Century Gothic" w:eastAsia="Times New Roman" w:hAnsi="Century Gothic" w:cs="Calibri"/>
                <w:i/>
                <w:sz w:val="18"/>
                <w:szCs w:val="18"/>
                <w:lang w:val="es-MX" w:eastAsia="es-MX"/>
              </w:rPr>
            </w:pPr>
            <w:r w:rsidRPr="0050035B">
              <w:rPr>
                <w:rFonts w:ascii="Century Gothic" w:eastAsia="Times New Roman" w:hAnsi="Century Gothic" w:cs="Calibri"/>
                <w:i/>
                <w:sz w:val="18"/>
                <w:szCs w:val="18"/>
                <w:lang w:val="es-MX" w:eastAsia="es-MX"/>
              </w:rPr>
              <w:t xml:space="preserve">Aprovechamientos </w:t>
            </w:r>
          </w:p>
        </w:tc>
        <w:tc>
          <w:tcPr>
            <w:tcW w:w="1955" w:type="dxa"/>
            <w:shd w:val="clear" w:color="auto" w:fill="auto"/>
            <w:vAlign w:val="center"/>
            <w:hideMark/>
          </w:tcPr>
          <w:p w:rsidR="00B40612" w:rsidRPr="002418AE" w:rsidRDefault="00B40612" w:rsidP="00B40612">
            <w:pPr>
              <w:jc w:val="right"/>
              <w:rPr>
                <w:rFonts w:ascii="Century Gothic" w:eastAsia="Times New Roman" w:hAnsi="Century Gothic" w:cs="Calibri"/>
                <w:strike/>
                <w:sz w:val="20"/>
                <w:szCs w:val="18"/>
                <w:highlight w:val="yellow"/>
                <w:lang w:val="es-MX" w:eastAsia="es-MX"/>
              </w:rPr>
            </w:pPr>
            <w:r>
              <w:rPr>
                <w:rFonts w:ascii="Century Gothic" w:hAnsi="Century Gothic" w:cs="Calibri"/>
                <w:color w:val="000000"/>
                <w:sz w:val="18"/>
                <w:szCs w:val="18"/>
              </w:rPr>
              <w:t>$295,116,297.27</w:t>
            </w:r>
          </w:p>
        </w:tc>
        <w:tc>
          <w:tcPr>
            <w:tcW w:w="1843" w:type="dxa"/>
            <w:shd w:val="clear" w:color="auto" w:fill="auto"/>
            <w:noWrap/>
            <w:vAlign w:val="center"/>
            <w:hideMark/>
          </w:tcPr>
          <w:p w:rsidR="00B40612" w:rsidRPr="0050035B" w:rsidRDefault="00B40612" w:rsidP="00B40612">
            <w:pPr>
              <w:jc w:val="right"/>
              <w:rPr>
                <w:rFonts w:ascii="Century Gothic" w:eastAsia="Times New Roman" w:hAnsi="Century Gothic" w:cs="Calibri"/>
                <w:strike/>
                <w:sz w:val="20"/>
                <w:szCs w:val="18"/>
                <w:highlight w:val="yellow"/>
                <w:lang w:val="es-MX" w:eastAsia="es-MX"/>
              </w:rPr>
            </w:pPr>
            <w:r>
              <w:rPr>
                <w:rFonts w:ascii="Century Gothic" w:hAnsi="Century Gothic" w:cs="Calibri"/>
                <w:color w:val="000000"/>
                <w:sz w:val="18"/>
                <w:szCs w:val="18"/>
              </w:rPr>
              <w:t>$228,099,297.62</w:t>
            </w:r>
          </w:p>
        </w:tc>
        <w:tc>
          <w:tcPr>
            <w:tcW w:w="2268" w:type="dxa"/>
            <w:vAlign w:val="center"/>
          </w:tcPr>
          <w:p w:rsidR="00B40612" w:rsidRPr="0050035B" w:rsidRDefault="00B40612" w:rsidP="00B40612">
            <w:pPr>
              <w:jc w:val="center"/>
              <w:rPr>
                <w:rFonts w:ascii="Century Gothic" w:hAnsi="Century Gothic" w:cs="Calibri"/>
                <w:strike/>
                <w:color w:val="000000"/>
                <w:sz w:val="20"/>
                <w:szCs w:val="18"/>
                <w:highlight w:val="yellow"/>
                <w:lang w:val="es-MX"/>
              </w:rPr>
            </w:pPr>
            <w:r>
              <w:rPr>
                <w:rFonts w:ascii="Century Gothic" w:hAnsi="Century Gothic" w:cs="Calibri"/>
                <w:b/>
                <w:bCs/>
                <w:color w:val="000000"/>
                <w:sz w:val="18"/>
                <w:szCs w:val="18"/>
              </w:rPr>
              <w:t>-22.71%</w:t>
            </w:r>
          </w:p>
        </w:tc>
      </w:tr>
      <w:tr w:rsidR="00B40612" w:rsidRPr="0050035B" w:rsidTr="000B1A05">
        <w:trPr>
          <w:trHeight w:val="511"/>
        </w:trPr>
        <w:tc>
          <w:tcPr>
            <w:tcW w:w="3215" w:type="dxa"/>
            <w:shd w:val="clear" w:color="auto" w:fill="BFBFBF" w:themeFill="background1" w:themeFillShade="BF"/>
            <w:vAlign w:val="center"/>
            <w:hideMark/>
          </w:tcPr>
          <w:p w:rsidR="00B40612" w:rsidRPr="0050035B" w:rsidRDefault="00B40612" w:rsidP="00B40612">
            <w:pPr>
              <w:jc w:val="center"/>
              <w:rPr>
                <w:rFonts w:ascii="Century Gothic" w:eastAsia="Times New Roman" w:hAnsi="Century Gothic" w:cs="Calibri"/>
                <w:b/>
                <w:bCs/>
                <w:sz w:val="18"/>
                <w:szCs w:val="18"/>
                <w:lang w:val="es-MX" w:eastAsia="es-MX"/>
              </w:rPr>
            </w:pPr>
            <w:r w:rsidRPr="0050035B">
              <w:rPr>
                <w:rFonts w:ascii="Century Gothic" w:eastAsia="Times New Roman" w:hAnsi="Century Gothic" w:cs="Calibri"/>
                <w:b/>
                <w:bCs/>
                <w:sz w:val="18"/>
                <w:szCs w:val="18"/>
                <w:lang w:val="es-MX" w:eastAsia="es-MX"/>
              </w:rPr>
              <w:t>Participaciones y Aportaciones</w:t>
            </w:r>
          </w:p>
        </w:tc>
        <w:tc>
          <w:tcPr>
            <w:tcW w:w="1955" w:type="dxa"/>
            <w:shd w:val="clear" w:color="auto" w:fill="BFBFBF" w:themeFill="background1" w:themeFillShade="BF"/>
            <w:noWrap/>
            <w:vAlign w:val="center"/>
            <w:hideMark/>
          </w:tcPr>
          <w:p w:rsidR="00B40612" w:rsidRPr="002418AE" w:rsidRDefault="00B40612" w:rsidP="00B40612">
            <w:pPr>
              <w:jc w:val="right"/>
              <w:rPr>
                <w:rFonts w:ascii="Century Gothic" w:eastAsia="Times New Roman" w:hAnsi="Century Gothic" w:cs="Calibri"/>
                <w:b/>
                <w:strike/>
                <w:sz w:val="20"/>
                <w:szCs w:val="18"/>
                <w:highlight w:val="yellow"/>
                <w:lang w:val="es-MX" w:eastAsia="es-MX"/>
              </w:rPr>
            </w:pPr>
            <w:r>
              <w:rPr>
                <w:rFonts w:ascii="Century Gothic" w:hAnsi="Century Gothic" w:cs="Calibri"/>
                <w:b/>
                <w:bCs/>
                <w:color w:val="000000"/>
                <w:sz w:val="18"/>
                <w:szCs w:val="18"/>
              </w:rPr>
              <w:t>$3,413,911,595.71</w:t>
            </w:r>
          </w:p>
        </w:tc>
        <w:tc>
          <w:tcPr>
            <w:tcW w:w="1843" w:type="dxa"/>
            <w:shd w:val="clear" w:color="auto" w:fill="BFBFBF" w:themeFill="background1" w:themeFillShade="BF"/>
            <w:noWrap/>
            <w:vAlign w:val="center"/>
            <w:hideMark/>
          </w:tcPr>
          <w:p w:rsidR="00B40612" w:rsidRPr="0050035B" w:rsidRDefault="00B40612" w:rsidP="00B40612">
            <w:pPr>
              <w:jc w:val="right"/>
              <w:rPr>
                <w:rFonts w:ascii="Century Gothic" w:eastAsia="Times New Roman" w:hAnsi="Century Gothic" w:cs="Calibri"/>
                <w:b/>
                <w:strike/>
                <w:sz w:val="20"/>
                <w:szCs w:val="18"/>
                <w:highlight w:val="yellow"/>
                <w:lang w:val="es-MX" w:eastAsia="es-MX"/>
              </w:rPr>
            </w:pPr>
            <w:r>
              <w:rPr>
                <w:rFonts w:ascii="Century Gothic" w:hAnsi="Century Gothic" w:cs="Calibri"/>
                <w:b/>
                <w:bCs/>
                <w:color w:val="000000"/>
                <w:sz w:val="18"/>
                <w:szCs w:val="18"/>
              </w:rPr>
              <w:t>$3,612,610,374.05</w:t>
            </w:r>
          </w:p>
        </w:tc>
        <w:tc>
          <w:tcPr>
            <w:tcW w:w="2268" w:type="dxa"/>
            <w:shd w:val="clear" w:color="auto" w:fill="BFBFBF" w:themeFill="background1" w:themeFillShade="BF"/>
            <w:vAlign w:val="center"/>
          </w:tcPr>
          <w:p w:rsidR="00B40612" w:rsidRPr="0050035B" w:rsidRDefault="00B40612" w:rsidP="00B40612">
            <w:pPr>
              <w:jc w:val="center"/>
              <w:rPr>
                <w:rFonts w:ascii="Century Gothic" w:hAnsi="Century Gothic" w:cs="Calibri"/>
                <w:b/>
                <w:bCs/>
                <w:strike/>
                <w:color w:val="000000"/>
                <w:sz w:val="20"/>
                <w:szCs w:val="18"/>
                <w:highlight w:val="yellow"/>
                <w:lang w:val="es-MX"/>
              </w:rPr>
            </w:pPr>
            <w:r>
              <w:rPr>
                <w:rFonts w:ascii="Century Gothic" w:hAnsi="Century Gothic" w:cs="Calibri"/>
                <w:b/>
                <w:bCs/>
                <w:color w:val="000000"/>
                <w:sz w:val="18"/>
                <w:szCs w:val="18"/>
              </w:rPr>
              <w:t>5.82%</w:t>
            </w:r>
          </w:p>
        </w:tc>
      </w:tr>
      <w:tr w:rsidR="00B40612" w:rsidRPr="0050035B" w:rsidTr="000B1A05">
        <w:trPr>
          <w:trHeight w:val="592"/>
        </w:trPr>
        <w:tc>
          <w:tcPr>
            <w:tcW w:w="3215" w:type="dxa"/>
            <w:shd w:val="clear" w:color="000000" w:fill="auto"/>
            <w:vAlign w:val="center"/>
            <w:hideMark/>
          </w:tcPr>
          <w:p w:rsidR="00B40612" w:rsidRPr="0050035B" w:rsidRDefault="00B40612" w:rsidP="00B40612">
            <w:pPr>
              <w:jc w:val="center"/>
              <w:rPr>
                <w:rFonts w:ascii="Century Gothic" w:eastAsia="Times New Roman" w:hAnsi="Century Gothic" w:cs="Calibri"/>
                <w:sz w:val="18"/>
                <w:szCs w:val="18"/>
                <w:lang w:val="es-MX" w:eastAsia="es-MX"/>
              </w:rPr>
            </w:pPr>
            <w:r w:rsidRPr="0050035B">
              <w:rPr>
                <w:rFonts w:ascii="Century Gothic" w:eastAsia="Times New Roman" w:hAnsi="Century Gothic" w:cs="Calibri"/>
                <w:sz w:val="18"/>
                <w:szCs w:val="18"/>
                <w:lang w:val="es-MX" w:eastAsia="es-MX"/>
              </w:rPr>
              <w:t>Participaciones</w:t>
            </w:r>
          </w:p>
        </w:tc>
        <w:tc>
          <w:tcPr>
            <w:tcW w:w="1955" w:type="dxa"/>
            <w:shd w:val="clear" w:color="auto" w:fill="auto"/>
            <w:vAlign w:val="center"/>
            <w:hideMark/>
          </w:tcPr>
          <w:p w:rsidR="00B40612" w:rsidRPr="002418AE" w:rsidRDefault="00B40612" w:rsidP="00B40612">
            <w:pPr>
              <w:jc w:val="right"/>
              <w:rPr>
                <w:rFonts w:ascii="Century Gothic" w:eastAsia="Times New Roman" w:hAnsi="Century Gothic" w:cs="Calibri"/>
                <w:strike/>
                <w:sz w:val="20"/>
                <w:szCs w:val="18"/>
                <w:highlight w:val="yellow"/>
                <w:lang w:val="es-MX" w:eastAsia="es-MX"/>
              </w:rPr>
            </w:pPr>
            <w:r>
              <w:rPr>
                <w:rFonts w:ascii="Century Gothic" w:hAnsi="Century Gothic" w:cs="Calibri"/>
                <w:color w:val="000000"/>
                <w:sz w:val="18"/>
                <w:szCs w:val="18"/>
              </w:rPr>
              <w:t>$2,465,622,189.07</w:t>
            </w:r>
          </w:p>
        </w:tc>
        <w:tc>
          <w:tcPr>
            <w:tcW w:w="1843" w:type="dxa"/>
            <w:shd w:val="clear" w:color="auto" w:fill="auto"/>
            <w:vAlign w:val="center"/>
            <w:hideMark/>
          </w:tcPr>
          <w:p w:rsidR="00B40612" w:rsidRPr="0050035B" w:rsidRDefault="00B40612" w:rsidP="00B40612">
            <w:pPr>
              <w:jc w:val="right"/>
              <w:rPr>
                <w:rFonts w:ascii="Century Gothic" w:eastAsia="Times New Roman" w:hAnsi="Century Gothic" w:cs="Calibri"/>
                <w:strike/>
                <w:sz w:val="20"/>
                <w:szCs w:val="18"/>
                <w:highlight w:val="yellow"/>
                <w:lang w:val="es-MX" w:eastAsia="es-MX"/>
              </w:rPr>
            </w:pPr>
            <w:r>
              <w:rPr>
                <w:rFonts w:ascii="Century Gothic" w:hAnsi="Century Gothic" w:cs="Calibri"/>
                <w:color w:val="000000"/>
                <w:sz w:val="18"/>
                <w:szCs w:val="18"/>
              </w:rPr>
              <w:t>$2,622,931,385.48</w:t>
            </w:r>
          </w:p>
        </w:tc>
        <w:tc>
          <w:tcPr>
            <w:tcW w:w="2268" w:type="dxa"/>
            <w:vAlign w:val="center"/>
          </w:tcPr>
          <w:p w:rsidR="00B40612" w:rsidRPr="0050035B" w:rsidRDefault="00B40612" w:rsidP="00B40612">
            <w:pPr>
              <w:jc w:val="center"/>
              <w:rPr>
                <w:rFonts w:ascii="Century Gothic" w:hAnsi="Century Gothic" w:cs="Calibri"/>
                <w:strike/>
                <w:color w:val="000000"/>
                <w:sz w:val="20"/>
                <w:szCs w:val="18"/>
                <w:highlight w:val="yellow"/>
                <w:lang w:val="es-MX"/>
              </w:rPr>
            </w:pPr>
            <w:r>
              <w:rPr>
                <w:rFonts w:ascii="Century Gothic" w:hAnsi="Century Gothic" w:cs="Calibri"/>
                <w:b/>
                <w:bCs/>
                <w:color w:val="000000"/>
                <w:sz w:val="18"/>
                <w:szCs w:val="18"/>
              </w:rPr>
              <w:t>6.38%</w:t>
            </w:r>
          </w:p>
        </w:tc>
      </w:tr>
      <w:tr w:rsidR="00B40612" w:rsidRPr="0050035B" w:rsidTr="000B1A05">
        <w:trPr>
          <w:trHeight w:val="615"/>
        </w:trPr>
        <w:tc>
          <w:tcPr>
            <w:tcW w:w="3215" w:type="dxa"/>
            <w:shd w:val="clear" w:color="000000" w:fill="auto"/>
            <w:vAlign w:val="center"/>
            <w:hideMark/>
          </w:tcPr>
          <w:p w:rsidR="00B40612" w:rsidRPr="0050035B" w:rsidRDefault="00B40612" w:rsidP="00B40612">
            <w:pPr>
              <w:jc w:val="center"/>
              <w:rPr>
                <w:rFonts w:ascii="Century Gothic" w:eastAsia="Times New Roman" w:hAnsi="Century Gothic" w:cs="Calibri"/>
                <w:sz w:val="18"/>
                <w:szCs w:val="18"/>
                <w:lang w:val="es-MX" w:eastAsia="es-MX"/>
              </w:rPr>
            </w:pPr>
            <w:r w:rsidRPr="0050035B">
              <w:rPr>
                <w:rFonts w:ascii="Century Gothic" w:eastAsia="Times New Roman" w:hAnsi="Century Gothic" w:cs="Calibri"/>
                <w:sz w:val="18"/>
                <w:szCs w:val="18"/>
                <w:lang w:val="es-MX" w:eastAsia="es-MX"/>
              </w:rPr>
              <w:t>Aportaciones</w:t>
            </w:r>
          </w:p>
        </w:tc>
        <w:tc>
          <w:tcPr>
            <w:tcW w:w="1955" w:type="dxa"/>
            <w:shd w:val="clear" w:color="auto" w:fill="auto"/>
            <w:vAlign w:val="center"/>
            <w:hideMark/>
          </w:tcPr>
          <w:p w:rsidR="00B40612" w:rsidRPr="002418AE" w:rsidRDefault="00B40612" w:rsidP="00B40612">
            <w:pPr>
              <w:jc w:val="right"/>
              <w:rPr>
                <w:rFonts w:ascii="Century Gothic" w:eastAsia="Times New Roman" w:hAnsi="Century Gothic" w:cs="Calibri"/>
                <w:strike/>
                <w:sz w:val="20"/>
                <w:szCs w:val="18"/>
                <w:highlight w:val="yellow"/>
                <w:lang w:val="es-MX" w:eastAsia="es-MX"/>
              </w:rPr>
            </w:pPr>
            <w:r>
              <w:rPr>
                <w:rFonts w:ascii="Century Gothic" w:hAnsi="Century Gothic" w:cs="Calibri"/>
                <w:color w:val="000000"/>
                <w:sz w:val="18"/>
                <w:szCs w:val="18"/>
              </w:rPr>
              <w:t>$948,289,406.64</w:t>
            </w:r>
          </w:p>
        </w:tc>
        <w:tc>
          <w:tcPr>
            <w:tcW w:w="1843" w:type="dxa"/>
            <w:shd w:val="clear" w:color="auto" w:fill="auto"/>
            <w:vAlign w:val="center"/>
            <w:hideMark/>
          </w:tcPr>
          <w:p w:rsidR="00B40612" w:rsidRPr="0050035B" w:rsidRDefault="00B40612" w:rsidP="00B40612">
            <w:pPr>
              <w:jc w:val="right"/>
              <w:rPr>
                <w:rFonts w:ascii="Century Gothic" w:eastAsia="Times New Roman" w:hAnsi="Century Gothic" w:cs="Calibri"/>
                <w:strike/>
                <w:sz w:val="20"/>
                <w:szCs w:val="18"/>
                <w:highlight w:val="yellow"/>
                <w:lang w:val="es-MX" w:eastAsia="es-MX"/>
              </w:rPr>
            </w:pPr>
            <w:r>
              <w:rPr>
                <w:rFonts w:ascii="Century Gothic" w:hAnsi="Century Gothic" w:cs="Calibri"/>
                <w:color w:val="000000"/>
                <w:sz w:val="18"/>
                <w:szCs w:val="18"/>
              </w:rPr>
              <w:t>$871,492,539.91</w:t>
            </w:r>
          </w:p>
        </w:tc>
        <w:tc>
          <w:tcPr>
            <w:tcW w:w="2268" w:type="dxa"/>
            <w:vAlign w:val="center"/>
          </w:tcPr>
          <w:p w:rsidR="00B40612" w:rsidRPr="0050035B" w:rsidRDefault="00B40612" w:rsidP="00B40612">
            <w:pPr>
              <w:jc w:val="center"/>
              <w:rPr>
                <w:rFonts w:ascii="Century Gothic" w:hAnsi="Century Gothic" w:cs="Calibri"/>
                <w:strike/>
                <w:color w:val="000000"/>
                <w:sz w:val="20"/>
                <w:szCs w:val="18"/>
                <w:highlight w:val="yellow"/>
                <w:lang w:val="es-MX"/>
              </w:rPr>
            </w:pPr>
            <w:r>
              <w:rPr>
                <w:rFonts w:ascii="Century Gothic" w:hAnsi="Century Gothic" w:cs="Calibri"/>
                <w:b/>
                <w:bCs/>
                <w:color w:val="000000"/>
                <w:sz w:val="18"/>
                <w:szCs w:val="18"/>
              </w:rPr>
              <w:t>-8.10%</w:t>
            </w:r>
          </w:p>
        </w:tc>
      </w:tr>
      <w:tr w:rsidR="00B40612" w:rsidRPr="0050035B" w:rsidTr="000B1A05">
        <w:trPr>
          <w:trHeight w:val="615"/>
        </w:trPr>
        <w:tc>
          <w:tcPr>
            <w:tcW w:w="3215" w:type="dxa"/>
            <w:shd w:val="clear" w:color="000000" w:fill="auto"/>
            <w:vAlign w:val="center"/>
          </w:tcPr>
          <w:p w:rsidR="00B40612" w:rsidRPr="0050035B" w:rsidRDefault="00B40612" w:rsidP="00B40612">
            <w:pPr>
              <w:jc w:val="center"/>
              <w:rPr>
                <w:rFonts w:ascii="Century Gothic" w:eastAsia="Times New Roman" w:hAnsi="Century Gothic" w:cs="Calibri"/>
                <w:sz w:val="18"/>
                <w:szCs w:val="18"/>
                <w:lang w:val="es-MX" w:eastAsia="es-MX"/>
              </w:rPr>
            </w:pPr>
            <w:r>
              <w:rPr>
                <w:rFonts w:ascii="Century Gothic" w:hAnsi="Century Gothic" w:cs="Calibri"/>
                <w:color w:val="000000"/>
                <w:sz w:val="18"/>
                <w:szCs w:val="18"/>
              </w:rPr>
              <w:t>Convenios</w:t>
            </w:r>
          </w:p>
        </w:tc>
        <w:tc>
          <w:tcPr>
            <w:tcW w:w="1955" w:type="dxa"/>
            <w:shd w:val="clear" w:color="auto" w:fill="auto"/>
            <w:vAlign w:val="center"/>
          </w:tcPr>
          <w:p w:rsidR="00B40612" w:rsidRPr="002418AE" w:rsidRDefault="00B40612" w:rsidP="00B40612">
            <w:pPr>
              <w:jc w:val="right"/>
              <w:rPr>
                <w:rFonts w:ascii="Century Gothic" w:hAnsi="Century Gothic" w:cs="Calibri"/>
                <w:color w:val="000000"/>
                <w:sz w:val="18"/>
                <w:szCs w:val="18"/>
                <w:highlight w:val="yellow"/>
                <w:lang w:val="es-MX"/>
              </w:rPr>
            </w:pPr>
            <w:r>
              <w:rPr>
                <w:rFonts w:ascii="Century Gothic" w:hAnsi="Century Gothic" w:cs="Calibri"/>
                <w:color w:val="000000"/>
                <w:sz w:val="18"/>
                <w:szCs w:val="18"/>
              </w:rPr>
              <w:t>$0.00</w:t>
            </w:r>
          </w:p>
        </w:tc>
        <w:tc>
          <w:tcPr>
            <w:tcW w:w="1843" w:type="dxa"/>
            <w:shd w:val="clear" w:color="auto" w:fill="auto"/>
            <w:vAlign w:val="center"/>
          </w:tcPr>
          <w:p w:rsidR="00B40612" w:rsidRPr="0050035B" w:rsidRDefault="00B40612" w:rsidP="00B40612">
            <w:pPr>
              <w:jc w:val="right"/>
              <w:rPr>
                <w:rFonts w:ascii="Century Gothic" w:hAnsi="Century Gothic" w:cs="Calibri"/>
                <w:color w:val="000000"/>
                <w:sz w:val="18"/>
                <w:szCs w:val="18"/>
                <w:lang w:val="es-MX"/>
              </w:rPr>
            </w:pPr>
            <w:r>
              <w:rPr>
                <w:rFonts w:ascii="Century Gothic" w:hAnsi="Century Gothic" w:cs="Calibri"/>
                <w:color w:val="000000"/>
                <w:sz w:val="18"/>
                <w:szCs w:val="18"/>
              </w:rPr>
              <w:t>$60,000,000.00</w:t>
            </w:r>
          </w:p>
        </w:tc>
        <w:tc>
          <w:tcPr>
            <w:tcW w:w="2268" w:type="dxa"/>
            <w:vAlign w:val="center"/>
          </w:tcPr>
          <w:p w:rsidR="00B40612" w:rsidRPr="0050035B" w:rsidRDefault="00B40612" w:rsidP="00B40612">
            <w:pPr>
              <w:jc w:val="center"/>
              <w:rPr>
                <w:rFonts w:ascii="Century Gothic" w:hAnsi="Century Gothic" w:cs="Calibri"/>
                <w:b/>
                <w:bCs/>
                <w:color w:val="000000"/>
                <w:sz w:val="18"/>
                <w:szCs w:val="18"/>
                <w:lang w:val="es-MX"/>
              </w:rPr>
            </w:pPr>
            <w:r>
              <w:rPr>
                <w:rFonts w:ascii="Century Gothic" w:hAnsi="Century Gothic" w:cs="Calibri"/>
                <w:b/>
                <w:bCs/>
                <w:color w:val="000000"/>
                <w:sz w:val="18"/>
                <w:szCs w:val="18"/>
              </w:rPr>
              <w:t>0.00%</w:t>
            </w:r>
          </w:p>
        </w:tc>
      </w:tr>
      <w:tr w:rsidR="00B40612" w:rsidRPr="0050035B" w:rsidTr="000B1A05">
        <w:trPr>
          <w:trHeight w:val="615"/>
        </w:trPr>
        <w:tc>
          <w:tcPr>
            <w:tcW w:w="3215" w:type="dxa"/>
            <w:shd w:val="clear" w:color="000000" w:fill="auto"/>
            <w:vAlign w:val="center"/>
          </w:tcPr>
          <w:p w:rsidR="00B40612" w:rsidRPr="0050035B" w:rsidRDefault="00B40612" w:rsidP="00B40612">
            <w:pPr>
              <w:jc w:val="center"/>
              <w:rPr>
                <w:rFonts w:ascii="Century Gothic" w:eastAsia="Times New Roman" w:hAnsi="Century Gothic" w:cs="Calibri"/>
                <w:sz w:val="18"/>
                <w:szCs w:val="18"/>
                <w:lang w:val="es-MX" w:eastAsia="es-MX"/>
              </w:rPr>
            </w:pPr>
            <w:r>
              <w:rPr>
                <w:rFonts w:ascii="Century Gothic" w:hAnsi="Century Gothic" w:cs="Calibri"/>
                <w:color w:val="000000"/>
                <w:sz w:val="18"/>
                <w:szCs w:val="18"/>
              </w:rPr>
              <w:t>Incentivos de Colaboración Fiscal</w:t>
            </w:r>
          </w:p>
        </w:tc>
        <w:tc>
          <w:tcPr>
            <w:tcW w:w="1955" w:type="dxa"/>
            <w:shd w:val="clear" w:color="auto" w:fill="auto"/>
            <w:vAlign w:val="center"/>
          </w:tcPr>
          <w:p w:rsidR="00B40612" w:rsidRPr="002418AE" w:rsidRDefault="00B40612" w:rsidP="00B40612">
            <w:pPr>
              <w:jc w:val="right"/>
              <w:rPr>
                <w:rFonts w:ascii="Century Gothic" w:hAnsi="Century Gothic" w:cs="Calibri"/>
                <w:color w:val="000000"/>
                <w:sz w:val="18"/>
                <w:szCs w:val="18"/>
                <w:highlight w:val="yellow"/>
                <w:lang w:val="es-MX"/>
              </w:rPr>
            </w:pPr>
            <w:r>
              <w:rPr>
                <w:rFonts w:ascii="Century Gothic" w:hAnsi="Century Gothic" w:cs="Calibri"/>
                <w:color w:val="000000"/>
                <w:sz w:val="18"/>
                <w:szCs w:val="18"/>
              </w:rPr>
              <w:t>$0.00</w:t>
            </w:r>
          </w:p>
        </w:tc>
        <w:tc>
          <w:tcPr>
            <w:tcW w:w="1843" w:type="dxa"/>
            <w:shd w:val="clear" w:color="auto" w:fill="auto"/>
            <w:vAlign w:val="center"/>
          </w:tcPr>
          <w:p w:rsidR="00B40612" w:rsidRPr="0050035B" w:rsidRDefault="00B40612" w:rsidP="00B40612">
            <w:pPr>
              <w:jc w:val="right"/>
              <w:rPr>
                <w:rFonts w:ascii="Century Gothic" w:hAnsi="Century Gothic" w:cs="Calibri"/>
                <w:color w:val="000000"/>
                <w:sz w:val="18"/>
                <w:szCs w:val="18"/>
                <w:lang w:val="es-MX"/>
              </w:rPr>
            </w:pPr>
            <w:r>
              <w:rPr>
                <w:rFonts w:ascii="Century Gothic" w:hAnsi="Century Gothic" w:cs="Calibri"/>
                <w:color w:val="000000"/>
                <w:sz w:val="18"/>
                <w:szCs w:val="18"/>
              </w:rPr>
              <w:t>$58,186,448.66</w:t>
            </w:r>
          </w:p>
        </w:tc>
        <w:tc>
          <w:tcPr>
            <w:tcW w:w="2268" w:type="dxa"/>
            <w:vAlign w:val="center"/>
          </w:tcPr>
          <w:p w:rsidR="00B40612" w:rsidRPr="0050035B" w:rsidRDefault="00B40612" w:rsidP="00B40612">
            <w:pPr>
              <w:jc w:val="center"/>
              <w:rPr>
                <w:rFonts w:ascii="Century Gothic" w:hAnsi="Century Gothic" w:cs="Calibri"/>
                <w:b/>
                <w:bCs/>
                <w:color w:val="000000"/>
                <w:sz w:val="18"/>
                <w:szCs w:val="18"/>
                <w:lang w:val="es-MX"/>
              </w:rPr>
            </w:pPr>
            <w:r>
              <w:rPr>
                <w:rFonts w:ascii="Century Gothic" w:hAnsi="Century Gothic" w:cs="Calibri"/>
                <w:b/>
                <w:bCs/>
                <w:color w:val="000000"/>
                <w:sz w:val="18"/>
                <w:szCs w:val="18"/>
              </w:rPr>
              <w:t>0.00%</w:t>
            </w:r>
          </w:p>
        </w:tc>
      </w:tr>
      <w:tr w:rsidR="00B40612" w:rsidRPr="0050035B" w:rsidTr="000B1A05">
        <w:trPr>
          <w:trHeight w:val="512"/>
        </w:trPr>
        <w:tc>
          <w:tcPr>
            <w:tcW w:w="3215" w:type="dxa"/>
            <w:shd w:val="clear" w:color="auto" w:fill="BFBFBF" w:themeFill="background1" w:themeFillShade="BF"/>
            <w:vAlign w:val="center"/>
            <w:hideMark/>
          </w:tcPr>
          <w:p w:rsidR="00B40612" w:rsidRPr="0050035B" w:rsidRDefault="00B40612" w:rsidP="00B40612">
            <w:pPr>
              <w:jc w:val="center"/>
              <w:rPr>
                <w:rFonts w:ascii="Century Gothic" w:eastAsia="Times New Roman" w:hAnsi="Century Gothic" w:cs="Calibri"/>
                <w:b/>
                <w:sz w:val="18"/>
                <w:szCs w:val="18"/>
                <w:lang w:val="es-MX" w:eastAsia="es-MX"/>
              </w:rPr>
            </w:pPr>
            <w:r w:rsidRPr="0050035B">
              <w:rPr>
                <w:rFonts w:ascii="Century Gothic" w:eastAsia="Times New Roman" w:hAnsi="Century Gothic" w:cs="Calibri"/>
                <w:b/>
                <w:sz w:val="18"/>
                <w:szCs w:val="18"/>
                <w:lang w:val="es-MX" w:eastAsia="es-MX"/>
              </w:rPr>
              <w:t>Transferencias, Asignaciones, Subsidios y otras Ayudas</w:t>
            </w:r>
          </w:p>
        </w:tc>
        <w:tc>
          <w:tcPr>
            <w:tcW w:w="1955" w:type="dxa"/>
            <w:shd w:val="clear" w:color="auto" w:fill="BFBFBF" w:themeFill="background1" w:themeFillShade="BF"/>
            <w:vAlign w:val="center"/>
            <w:hideMark/>
          </w:tcPr>
          <w:p w:rsidR="00B40612" w:rsidRPr="002418AE" w:rsidRDefault="00B40612" w:rsidP="00B40612">
            <w:pPr>
              <w:jc w:val="right"/>
              <w:rPr>
                <w:rFonts w:ascii="Century Gothic" w:eastAsia="Times New Roman" w:hAnsi="Century Gothic" w:cs="Calibri"/>
                <w:b/>
                <w:strike/>
                <w:sz w:val="20"/>
                <w:szCs w:val="18"/>
                <w:highlight w:val="yellow"/>
                <w:lang w:val="es-MX" w:eastAsia="es-MX"/>
              </w:rPr>
            </w:pPr>
            <w:r>
              <w:rPr>
                <w:rFonts w:ascii="Century Gothic" w:hAnsi="Century Gothic" w:cs="Calibri"/>
                <w:b/>
                <w:bCs/>
                <w:color w:val="000000"/>
                <w:sz w:val="18"/>
                <w:szCs w:val="18"/>
              </w:rPr>
              <w:t>$78,080,222.10</w:t>
            </w:r>
          </w:p>
        </w:tc>
        <w:tc>
          <w:tcPr>
            <w:tcW w:w="1843" w:type="dxa"/>
            <w:shd w:val="clear" w:color="auto" w:fill="BFBFBF" w:themeFill="background1" w:themeFillShade="BF"/>
            <w:vAlign w:val="center"/>
            <w:hideMark/>
          </w:tcPr>
          <w:p w:rsidR="00B40612" w:rsidRPr="0050035B" w:rsidRDefault="00B40612" w:rsidP="00B40612">
            <w:pPr>
              <w:jc w:val="right"/>
              <w:rPr>
                <w:rFonts w:ascii="Century Gothic" w:eastAsia="Times New Roman" w:hAnsi="Century Gothic" w:cs="Calibri"/>
                <w:b/>
                <w:strike/>
                <w:sz w:val="20"/>
                <w:szCs w:val="18"/>
                <w:highlight w:val="yellow"/>
                <w:lang w:val="es-MX" w:eastAsia="es-MX"/>
              </w:rPr>
            </w:pPr>
            <w:r>
              <w:rPr>
                <w:rFonts w:ascii="Century Gothic" w:hAnsi="Century Gothic" w:cs="Calibri"/>
                <w:b/>
                <w:bCs/>
                <w:color w:val="000000"/>
                <w:sz w:val="18"/>
                <w:szCs w:val="18"/>
              </w:rPr>
              <w:t>$76,226,930.91</w:t>
            </w:r>
          </w:p>
        </w:tc>
        <w:tc>
          <w:tcPr>
            <w:tcW w:w="2268" w:type="dxa"/>
            <w:shd w:val="clear" w:color="auto" w:fill="BFBFBF" w:themeFill="background1" w:themeFillShade="BF"/>
            <w:vAlign w:val="center"/>
          </w:tcPr>
          <w:p w:rsidR="00B40612" w:rsidRPr="0050035B" w:rsidRDefault="00B40612" w:rsidP="00B40612">
            <w:pPr>
              <w:jc w:val="center"/>
              <w:rPr>
                <w:rFonts w:ascii="Century Gothic" w:hAnsi="Century Gothic" w:cs="Calibri"/>
                <w:b/>
                <w:bCs/>
                <w:strike/>
                <w:color w:val="000000"/>
                <w:sz w:val="20"/>
                <w:szCs w:val="18"/>
                <w:highlight w:val="yellow"/>
                <w:lang w:val="es-MX"/>
              </w:rPr>
            </w:pPr>
            <w:r>
              <w:rPr>
                <w:rFonts w:ascii="Century Gothic" w:hAnsi="Century Gothic" w:cs="Calibri"/>
                <w:b/>
                <w:bCs/>
                <w:color w:val="000000"/>
                <w:sz w:val="18"/>
                <w:szCs w:val="18"/>
              </w:rPr>
              <w:t>-2.37%</w:t>
            </w:r>
          </w:p>
        </w:tc>
      </w:tr>
      <w:tr w:rsidR="005606EA" w:rsidRPr="0050035B" w:rsidTr="009E6703">
        <w:trPr>
          <w:trHeight w:val="122"/>
        </w:trPr>
        <w:tc>
          <w:tcPr>
            <w:tcW w:w="9281" w:type="dxa"/>
            <w:gridSpan w:val="4"/>
            <w:shd w:val="clear" w:color="auto" w:fill="auto"/>
            <w:vAlign w:val="center"/>
          </w:tcPr>
          <w:p w:rsidR="005606EA" w:rsidRPr="002418AE" w:rsidRDefault="005606EA" w:rsidP="006E4F2B">
            <w:pPr>
              <w:jc w:val="right"/>
              <w:rPr>
                <w:rFonts w:ascii="Century Gothic" w:hAnsi="Century Gothic" w:cs="Calibri"/>
                <w:b/>
                <w:bCs/>
                <w:strike/>
                <w:color w:val="000000"/>
                <w:sz w:val="20"/>
                <w:szCs w:val="18"/>
                <w:highlight w:val="yellow"/>
                <w:lang w:val="es-MX"/>
              </w:rPr>
            </w:pPr>
          </w:p>
        </w:tc>
      </w:tr>
      <w:tr w:rsidR="00B40612" w:rsidRPr="0050035B" w:rsidTr="000B1A05">
        <w:trPr>
          <w:trHeight w:val="526"/>
        </w:trPr>
        <w:tc>
          <w:tcPr>
            <w:tcW w:w="3215" w:type="dxa"/>
            <w:shd w:val="clear" w:color="auto" w:fill="BFBFBF" w:themeFill="background1" w:themeFillShade="BF"/>
            <w:vAlign w:val="center"/>
          </w:tcPr>
          <w:p w:rsidR="00B40612" w:rsidRPr="0050035B" w:rsidRDefault="00B40612" w:rsidP="00B40612">
            <w:pPr>
              <w:jc w:val="center"/>
              <w:rPr>
                <w:rFonts w:ascii="Century Gothic" w:eastAsia="Times New Roman" w:hAnsi="Century Gothic" w:cs="Calibri"/>
                <w:b/>
                <w:i/>
                <w:sz w:val="20"/>
                <w:szCs w:val="20"/>
                <w:lang w:val="es-MX" w:eastAsia="es-MX"/>
              </w:rPr>
            </w:pPr>
            <w:r w:rsidRPr="0050035B">
              <w:rPr>
                <w:rFonts w:ascii="Century Gothic" w:eastAsia="Times New Roman" w:hAnsi="Century Gothic" w:cs="Calibri"/>
                <w:b/>
                <w:i/>
                <w:sz w:val="20"/>
                <w:szCs w:val="20"/>
                <w:lang w:val="es-MX" w:eastAsia="es-MX"/>
              </w:rPr>
              <w:t>Total antes de Financiamiento</w:t>
            </w:r>
          </w:p>
        </w:tc>
        <w:tc>
          <w:tcPr>
            <w:tcW w:w="1955" w:type="dxa"/>
            <w:shd w:val="clear" w:color="auto" w:fill="BFBFBF" w:themeFill="background1" w:themeFillShade="BF"/>
            <w:vAlign w:val="center"/>
          </w:tcPr>
          <w:p w:rsidR="00B40612" w:rsidRPr="00B40612" w:rsidRDefault="00896E25" w:rsidP="00B40612">
            <w:pPr>
              <w:jc w:val="right"/>
              <w:rPr>
                <w:rFonts w:ascii="Century Gothic" w:hAnsi="Century Gothic" w:cs="Calibri"/>
                <w:b/>
                <w:bCs/>
                <w:i/>
                <w:iCs/>
                <w:color w:val="000000"/>
                <w:sz w:val="18"/>
                <w:szCs w:val="18"/>
              </w:rPr>
            </w:pPr>
            <w:r>
              <w:rPr>
                <w:rFonts w:ascii="Century Gothic" w:hAnsi="Century Gothic" w:cs="Calibri"/>
                <w:b/>
                <w:bCs/>
                <w:i/>
                <w:iCs/>
                <w:color w:val="000000"/>
                <w:sz w:val="18"/>
                <w:szCs w:val="18"/>
              </w:rPr>
              <w:t>$</w:t>
            </w:r>
            <w:r w:rsidR="00B40612">
              <w:rPr>
                <w:rFonts w:ascii="Century Gothic" w:hAnsi="Century Gothic" w:cs="Calibri"/>
                <w:b/>
                <w:bCs/>
                <w:i/>
                <w:iCs/>
                <w:color w:val="000000"/>
                <w:sz w:val="18"/>
                <w:szCs w:val="18"/>
              </w:rPr>
              <w:t>6,188,974,186.76</w:t>
            </w:r>
          </w:p>
        </w:tc>
        <w:tc>
          <w:tcPr>
            <w:tcW w:w="1843" w:type="dxa"/>
            <w:shd w:val="clear" w:color="auto" w:fill="BFBFBF" w:themeFill="background1" w:themeFillShade="BF"/>
            <w:vAlign w:val="center"/>
          </w:tcPr>
          <w:p w:rsidR="00B40612" w:rsidRPr="0050035B" w:rsidRDefault="00896E25" w:rsidP="00B40612">
            <w:pPr>
              <w:jc w:val="right"/>
              <w:rPr>
                <w:rFonts w:ascii="Century Gothic" w:eastAsia="Times New Roman" w:hAnsi="Century Gothic" w:cs="Calibri"/>
                <w:b/>
                <w:strike/>
                <w:sz w:val="21"/>
                <w:szCs w:val="21"/>
                <w:highlight w:val="yellow"/>
                <w:lang w:val="es-MX" w:eastAsia="es-MX"/>
              </w:rPr>
            </w:pPr>
            <w:r>
              <w:rPr>
                <w:rFonts w:ascii="Century Gothic" w:hAnsi="Century Gothic" w:cs="Calibri"/>
                <w:b/>
                <w:bCs/>
                <w:i/>
                <w:iCs/>
                <w:color w:val="000000"/>
                <w:sz w:val="18"/>
                <w:szCs w:val="18"/>
              </w:rPr>
              <w:t>$</w:t>
            </w:r>
            <w:r w:rsidR="00B40612">
              <w:rPr>
                <w:rFonts w:ascii="Century Gothic" w:hAnsi="Century Gothic" w:cs="Calibri"/>
                <w:b/>
                <w:bCs/>
                <w:i/>
                <w:iCs/>
                <w:color w:val="000000"/>
                <w:sz w:val="18"/>
                <w:szCs w:val="18"/>
              </w:rPr>
              <w:t>6,596,587,846.42</w:t>
            </w:r>
          </w:p>
        </w:tc>
        <w:tc>
          <w:tcPr>
            <w:tcW w:w="2268" w:type="dxa"/>
            <w:shd w:val="clear" w:color="auto" w:fill="BFBFBF" w:themeFill="background1" w:themeFillShade="BF"/>
            <w:vAlign w:val="center"/>
          </w:tcPr>
          <w:p w:rsidR="00B40612" w:rsidRPr="0050035B" w:rsidRDefault="00B40612" w:rsidP="00B40612">
            <w:pPr>
              <w:jc w:val="center"/>
              <w:rPr>
                <w:rFonts w:ascii="Century Gothic" w:hAnsi="Century Gothic" w:cs="Calibri"/>
                <w:b/>
                <w:bCs/>
                <w:strike/>
                <w:color w:val="000000"/>
                <w:sz w:val="22"/>
                <w:szCs w:val="18"/>
                <w:highlight w:val="yellow"/>
                <w:lang w:val="es-MX"/>
              </w:rPr>
            </w:pPr>
            <w:r>
              <w:rPr>
                <w:rFonts w:ascii="Century Gothic" w:hAnsi="Century Gothic" w:cs="Calibri"/>
                <w:b/>
                <w:bCs/>
                <w:color w:val="000000"/>
                <w:sz w:val="18"/>
                <w:szCs w:val="18"/>
              </w:rPr>
              <w:t>6.59%</w:t>
            </w:r>
          </w:p>
        </w:tc>
      </w:tr>
      <w:tr w:rsidR="00B40612" w:rsidRPr="0050035B" w:rsidTr="000B1A05">
        <w:trPr>
          <w:trHeight w:val="80"/>
        </w:trPr>
        <w:tc>
          <w:tcPr>
            <w:tcW w:w="3215" w:type="dxa"/>
            <w:shd w:val="clear" w:color="auto" w:fill="auto"/>
            <w:vAlign w:val="center"/>
          </w:tcPr>
          <w:p w:rsidR="00B40612" w:rsidRPr="0050035B" w:rsidRDefault="00B40612" w:rsidP="00B40612">
            <w:pPr>
              <w:jc w:val="center"/>
              <w:rPr>
                <w:rFonts w:ascii="Century Gothic" w:eastAsia="Times New Roman" w:hAnsi="Century Gothic" w:cs="Calibri"/>
                <w:b/>
                <w:sz w:val="18"/>
                <w:szCs w:val="18"/>
                <w:lang w:val="es-MX" w:eastAsia="es-MX"/>
              </w:rPr>
            </w:pPr>
            <w:r w:rsidRPr="0050035B">
              <w:rPr>
                <w:rFonts w:ascii="Century Gothic" w:eastAsia="Times New Roman" w:hAnsi="Century Gothic" w:cs="Calibri"/>
                <w:b/>
                <w:sz w:val="18"/>
                <w:szCs w:val="18"/>
                <w:lang w:val="es-MX" w:eastAsia="es-MX"/>
              </w:rPr>
              <w:t>Financiamiento</w:t>
            </w:r>
          </w:p>
        </w:tc>
        <w:tc>
          <w:tcPr>
            <w:tcW w:w="1955" w:type="dxa"/>
            <w:shd w:val="clear" w:color="auto" w:fill="auto"/>
            <w:vAlign w:val="center"/>
          </w:tcPr>
          <w:p w:rsidR="00B40612" w:rsidRPr="00B40612" w:rsidRDefault="00B40612" w:rsidP="00B40612">
            <w:pPr>
              <w:jc w:val="right"/>
              <w:rPr>
                <w:rFonts w:ascii="Century Gothic" w:eastAsia="Times New Roman" w:hAnsi="Century Gothic" w:cs="Calibri"/>
                <w:strike/>
                <w:sz w:val="20"/>
                <w:szCs w:val="18"/>
                <w:lang w:val="es-MX" w:eastAsia="es-MX"/>
              </w:rPr>
            </w:pPr>
            <w:r w:rsidRPr="00B40612">
              <w:rPr>
                <w:rFonts w:ascii="Century Gothic" w:hAnsi="Century Gothic" w:cs="Calibri"/>
                <w:color w:val="000000"/>
                <w:sz w:val="18"/>
                <w:szCs w:val="18"/>
              </w:rPr>
              <w:t xml:space="preserve">                                -   </w:t>
            </w:r>
          </w:p>
        </w:tc>
        <w:tc>
          <w:tcPr>
            <w:tcW w:w="1843" w:type="dxa"/>
            <w:shd w:val="clear" w:color="auto" w:fill="auto"/>
            <w:vAlign w:val="center"/>
          </w:tcPr>
          <w:p w:rsidR="00B40612" w:rsidRPr="00B40612" w:rsidRDefault="00B40612" w:rsidP="00B40612">
            <w:pPr>
              <w:jc w:val="right"/>
              <w:rPr>
                <w:rFonts w:ascii="Century Gothic" w:eastAsia="Times New Roman" w:hAnsi="Century Gothic" w:cs="Calibri"/>
                <w:strike/>
                <w:sz w:val="20"/>
                <w:szCs w:val="18"/>
                <w:lang w:val="es-MX" w:eastAsia="es-MX"/>
              </w:rPr>
            </w:pPr>
            <w:r w:rsidRPr="00B40612">
              <w:rPr>
                <w:rFonts w:ascii="Century Gothic" w:hAnsi="Century Gothic" w:cs="Calibri"/>
                <w:color w:val="000000"/>
                <w:sz w:val="18"/>
                <w:szCs w:val="18"/>
              </w:rPr>
              <w:t xml:space="preserve">      </w:t>
            </w:r>
            <w:r>
              <w:rPr>
                <w:rFonts w:ascii="Century Gothic" w:hAnsi="Century Gothic" w:cs="Calibri"/>
                <w:color w:val="000000"/>
                <w:sz w:val="18"/>
                <w:szCs w:val="18"/>
              </w:rPr>
              <w:t>$</w:t>
            </w:r>
            <w:r w:rsidRPr="00B40612">
              <w:rPr>
                <w:rFonts w:ascii="Century Gothic" w:hAnsi="Century Gothic" w:cs="Calibri"/>
                <w:color w:val="000000"/>
                <w:sz w:val="18"/>
                <w:szCs w:val="18"/>
              </w:rPr>
              <w:t xml:space="preserve">329,829,392.32 </w:t>
            </w:r>
          </w:p>
        </w:tc>
        <w:tc>
          <w:tcPr>
            <w:tcW w:w="2268" w:type="dxa"/>
            <w:vAlign w:val="center"/>
          </w:tcPr>
          <w:p w:rsidR="00B40612" w:rsidRPr="0050035B" w:rsidRDefault="00B40612" w:rsidP="00B40612">
            <w:pPr>
              <w:jc w:val="center"/>
              <w:rPr>
                <w:rFonts w:ascii="Century Gothic" w:hAnsi="Century Gothic" w:cs="Calibri"/>
                <w:strike/>
                <w:color w:val="000000"/>
                <w:sz w:val="22"/>
                <w:szCs w:val="18"/>
                <w:highlight w:val="yellow"/>
                <w:lang w:val="es-MX"/>
              </w:rPr>
            </w:pPr>
            <w:r>
              <w:rPr>
                <w:rFonts w:ascii="Century Gothic" w:hAnsi="Century Gothic" w:cs="Calibri"/>
                <w:b/>
                <w:bCs/>
                <w:color w:val="000000"/>
                <w:sz w:val="18"/>
                <w:szCs w:val="18"/>
              </w:rPr>
              <w:t>0.00%</w:t>
            </w:r>
          </w:p>
        </w:tc>
      </w:tr>
      <w:tr w:rsidR="00B40612" w:rsidRPr="0050035B" w:rsidTr="00E44364">
        <w:trPr>
          <w:trHeight w:val="554"/>
        </w:trPr>
        <w:tc>
          <w:tcPr>
            <w:tcW w:w="3215" w:type="dxa"/>
            <w:shd w:val="clear" w:color="auto" w:fill="FDE9D9" w:themeFill="accent6" w:themeFillTint="33"/>
            <w:vAlign w:val="center"/>
          </w:tcPr>
          <w:p w:rsidR="00B40612" w:rsidRPr="0050035B" w:rsidRDefault="00B40612" w:rsidP="00B40612">
            <w:pPr>
              <w:jc w:val="center"/>
              <w:rPr>
                <w:rFonts w:ascii="Century Gothic" w:eastAsia="Times New Roman" w:hAnsi="Century Gothic" w:cs="Calibri"/>
                <w:b/>
                <w:sz w:val="22"/>
                <w:szCs w:val="22"/>
                <w:lang w:val="es-MX" w:eastAsia="es-MX"/>
              </w:rPr>
            </w:pPr>
            <w:r w:rsidRPr="0050035B">
              <w:rPr>
                <w:rFonts w:ascii="Century Gothic" w:eastAsia="Times New Roman" w:hAnsi="Century Gothic" w:cs="Calibri"/>
                <w:b/>
                <w:sz w:val="22"/>
                <w:szCs w:val="22"/>
                <w:lang w:val="es-MX" w:eastAsia="es-MX"/>
              </w:rPr>
              <w:t xml:space="preserve">Total de Ingresos </w:t>
            </w:r>
          </w:p>
        </w:tc>
        <w:tc>
          <w:tcPr>
            <w:tcW w:w="1955" w:type="dxa"/>
            <w:shd w:val="clear" w:color="auto" w:fill="FDE9D9" w:themeFill="accent6" w:themeFillTint="33"/>
            <w:vAlign w:val="center"/>
          </w:tcPr>
          <w:p w:rsidR="00B40612" w:rsidRPr="002418AE" w:rsidRDefault="00B40612" w:rsidP="00B40612">
            <w:pPr>
              <w:jc w:val="right"/>
              <w:rPr>
                <w:rFonts w:ascii="Century Gothic" w:eastAsia="Times New Roman" w:hAnsi="Century Gothic" w:cs="Calibri"/>
                <w:b/>
                <w:strike/>
                <w:sz w:val="20"/>
                <w:szCs w:val="18"/>
                <w:highlight w:val="yellow"/>
                <w:lang w:val="es-MX" w:eastAsia="es-MX"/>
              </w:rPr>
            </w:pPr>
            <w:r w:rsidRPr="00B40612">
              <w:rPr>
                <w:rFonts w:ascii="Century Gothic" w:hAnsi="Century Gothic" w:cs="Calibri"/>
                <w:b/>
                <w:bCs/>
                <w:color w:val="000000"/>
                <w:sz w:val="18"/>
                <w:szCs w:val="18"/>
              </w:rPr>
              <w:t>$6,188,974,186.76</w:t>
            </w:r>
          </w:p>
        </w:tc>
        <w:tc>
          <w:tcPr>
            <w:tcW w:w="1843" w:type="dxa"/>
            <w:shd w:val="clear" w:color="auto" w:fill="FDE9D9" w:themeFill="accent6" w:themeFillTint="33"/>
            <w:vAlign w:val="center"/>
          </w:tcPr>
          <w:p w:rsidR="00B40612" w:rsidRPr="0050035B" w:rsidRDefault="00B40612" w:rsidP="00B40612">
            <w:pPr>
              <w:jc w:val="right"/>
              <w:rPr>
                <w:rFonts w:ascii="Century Gothic" w:eastAsia="Times New Roman" w:hAnsi="Century Gothic" w:cs="Calibri"/>
                <w:b/>
                <w:strike/>
                <w:sz w:val="20"/>
                <w:szCs w:val="18"/>
                <w:highlight w:val="yellow"/>
                <w:lang w:val="es-MX" w:eastAsia="es-MX"/>
              </w:rPr>
            </w:pPr>
            <w:r>
              <w:rPr>
                <w:rFonts w:ascii="Century Gothic" w:hAnsi="Century Gothic" w:cs="Calibri"/>
                <w:b/>
                <w:bCs/>
                <w:color w:val="000000"/>
                <w:sz w:val="18"/>
                <w:szCs w:val="18"/>
              </w:rPr>
              <w:t>$6,926,417,238.74</w:t>
            </w:r>
          </w:p>
        </w:tc>
        <w:tc>
          <w:tcPr>
            <w:tcW w:w="2268" w:type="dxa"/>
            <w:shd w:val="clear" w:color="auto" w:fill="FDE9D9" w:themeFill="accent6" w:themeFillTint="33"/>
            <w:vAlign w:val="center"/>
          </w:tcPr>
          <w:p w:rsidR="00B40612" w:rsidRPr="0050035B" w:rsidRDefault="00B40612" w:rsidP="00B40612">
            <w:pPr>
              <w:jc w:val="center"/>
              <w:rPr>
                <w:rFonts w:ascii="Century Gothic" w:hAnsi="Century Gothic" w:cs="Calibri"/>
                <w:b/>
                <w:bCs/>
                <w:strike/>
                <w:color w:val="000000"/>
                <w:sz w:val="22"/>
                <w:szCs w:val="18"/>
                <w:highlight w:val="yellow"/>
                <w:lang w:val="es-MX"/>
              </w:rPr>
            </w:pPr>
            <w:r>
              <w:rPr>
                <w:rFonts w:ascii="Century Gothic" w:hAnsi="Century Gothic" w:cs="Calibri"/>
                <w:b/>
                <w:bCs/>
                <w:color w:val="000000"/>
                <w:sz w:val="18"/>
                <w:szCs w:val="18"/>
              </w:rPr>
              <w:t>11.92%</w:t>
            </w:r>
          </w:p>
        </w:tc>
      </w:tr>
    </w:tbl>
    <w:p w:rsidR="00A16BF0" w:rsidRPr="0050035B" w:rsidRDefault="00A16BF0" w:rsidP="00713CB5">
      <w:pPr>
        <w:spacing w:line="360" w:lineRule="auto"/>
        <w:jc w:val="both"/>
        <w:rPr>
          <w:rFonts w:ascii="Century Gothic" w:hAnsi="Century Gothic"/>
          <w:lang w:val="es-MX"/>
        </w:rPr>
      </w:pPr>
    </w:p>
    <w:p w:rsidR="00A16BF0" w:rsidRPr="0050035B" w:rsidRDefault="00C62E98" w:rsidP="00C62E98">
      <w:pPr>
        <w:jc w:val="center"/>
        <w:rPr>
          <w:rFonts w:ascii="Century Gothic" w:hAnsi="Century Gothic"/>
          <w:lang w:val="es-MX"/>
        </w:rPr>
      </w:pPr>
      <w:r w:rsidRPr="0050035B">
        <w:rPr>
          <w:rFonts w:ascii="Century Gothic" w:hAnsi="Century Gothic"/>
          <w:b/>
          <w:bCs/>
          <w:sz w:val="20"/>
          <w:lang w:val="es-MX"/>
        </w:rPr>
        <w:t>Fuente</w:t>
      </w:r>
      <w:r w:rsidRPr="0050035B">
        <w:rPr>
          <w:rFonts w:ascii="Century Gothic" w:hAnsi="Century Gothic"/>
          <w:sz w:val="20"/>
          <w:lang w:val="es-MX"/>
        </w:rPr>
        <w:t>: Elaboración propia, 202</w:t>
      </w:r>
      <w:r>
        <w:rPr>
          <w:rFonts w:ascii="Century Gothic" w:hAnsi="Century Gothic"/>
          <w:sz w:val="20"/>
          <w:lang w:val="es-MX"/>
        </w:rPr>
        <w:t>1</w:t>
      </w:r>
      <w:r w:rsidRPr="0050035B">
        <w:rPr>
          <w:rFonts w:ascii="Century Gothic" w:hAnsi="Century Gothic"/>
          <w:sz w:val="20"/>
          <w:lang w:val="es-MX"/>
        </w:rPr>
        <w:t>.</w:t>
      </w:r>
    </w:p>
    <w:p w:rsidR="003F5B83" w:rsidRPr="0050035B" w:rsidRDefault="003F5B83" w:rsidP="003F5B83">
      <w:pPr>
        <w:rPr>
          <w:rFonts w:ascii="Century Gothic" w:hAnsi="Century Gothic"/>
          <w:b/>
          <w:lang w:val="es-MX"/>
        </w:rPr>
      </w:pPr>
    </w:p>
    <w:p w:rsidR="003F5B83" w:rsidRPr="0050035B" w:rsidRDefault="003F5B83" w:rsidP="003F5B83">
      <w:pPr>
        <w:rPr>
          <w:rFonts w:ascii="Century Gothic" w:hAnsi="Century Gothic"/>
          <w:b/>
          <w:lang w:val="es-MX"/>
        </w:rPr>
      </w:pPr>
    </w:p>
    <w:p w:rsidR="003F5B83" w:rsidRPr="0050035B" w:rsidRDefault="003F5B83" w:rsidP="003F5B83">
      <w:pPr>
        <w:rPr>
          <w:rFonts w:ascii="Century Gothic" w:hAnsi="Century Gothic"/>
          <w:b/>
          <w:lang w:val="es-MX"/>
        </w:rPr>
      </w:pPr>
    </w:p>
    <w:p w:rsidR="0045732F" w:rsidRPr="0050035B" w:rsidRDefault="0045732F">
      <w:pPr>
        <w:rPr>
          <w:rFonts w:ascii="Century Gothic" w:hAnsi="Century Gothic"/>
          <w:b/>
          <w:lang w:val="es-MX"/>
        </w:rPr>
      </w:pPr>
      <w:r w:rsidRPr="0050035B">
        <w:rPr>
          <w:rFonts w:ascii="Century Gothic" w:hAnsi="Century Gothic"/>
          <w:b/>
          <w:lang w:val="es-MX"/>
        </w:rPr>
        <w:br w:type="page"/>
      </w:r>
    </w:p>
    <w:p w:rsidR="002B6A26" w:rsidRPr="0050035B" w:rsidRDefault="005267A7" w:rsidP="003F5B83">
      <w:pPr>
        <w:rPr>
          <w:rFonts w:ascii="Century Gothic" w:hAnsi="Century Gothic"/>
          <w:b/>
          <w:lang w:val="es-MX"/>
        </w:rPr>
      </w:pPr>
      <w:r w:rsidRPr="0050035B">
        <w:rPr>
          <w:rFonts w:ascii="Century Gothic" w:hAnsi="Century Gothic"/>
          <w:b/>
          <w:lang w:val="es-MX"/>
        </w:rPr>
        <w:lastRenderedPageBreak/>
        <w:t>4.</w:t>
      </w:r>
      <w:r w:rsidR="006B001C" w:rsidRPr="0050035B">
        <w:rPr>
          <w:rFonts w:ascii="Century Gothic" w:hAnsi="Century Gothic"/>
          <w:b/>
          <w:lang w:val="es-MX"/>
        </w:rPr>
        <w:t>7</w:t>
      </w:r>
      <w:r w:rsidR="003F5B83" w:rsidRPr="0050035B">
        <w:rPr>
          <w:rFonts w:ascii="Century Gothic" w:hAnsi="Century Gothic"/>
          <w:b/>
          <w:lang w:val="es-MX"/>
        </w:rPr>
        <w:t>. Formato de Iniciativ</w:t>
      </w:r>
      <w:r w:rsidR="002B6A26" w:rsidRPr="0050035B">
        <w:rPr>
          <w:rFonts w:ascii="Century Gothic" w:hAnsi="Century Gothic"/>
          <w:b/>
          <w:lang w:val="es-MX"/>
        </w:rPr>
        <w:t>a de Ley de Ingresos Armonizada</w:t>
      </w:r>
    </w:p>
    <w:p w:rsidR="002B6A26" w:rsidRPr="0050035B" w:rsidRDefault="008112B8" w:rsidP="003F5B83">
      <w:pPr>
        <w:rPr>
          <w:rFonts w:ascii="Century Gothic" w:hAnsi="Century Gothic"/>
          <w:b/>
          <w:lang w:val="es-MX"/>
        </w:rPr>
      </w:pPr>
      <w:r w:rsidRPr="008112B8">
        <w:rPr>
          <w:noProof/>
          <w:lang w:val="es-MX" w:eastAsia="es-MX"/>
        </w:rPr>
        <w:drawing>
          <wp:anchor distT="0" distB="0" distL="114300" distR="114300" simplePos="0" relativeHeight="251751424" behindDoc="1" locked="0" layoutInCell="1" allowOverlap="1" wp14:anchorId="04643B54" wp14:editId="1C5DE164">
            <wp:simplePos x="0" y="0"/>
            <wp:positionH relativeFrom="margin">
              <wp:align>left</wp:align>
            </wp:positionH>
            <wp:positionV relativeFrom="paragraph">
              <wp:posOffset>19183</wp:posOffset>
            </wp:positionV>
            <wp:extent cx="5636525" cy="7790003"/>
            <wp:effectExtent l="0" t="0" r="2540" b="190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2896" cy="77988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770B" w:rsidRPr="0050035B" w:rsidRDefault="0021770B" w:rsidP="0021770B">
      <w:pPr>
        <w:rPr>
          <w:rFonts w:ascii="Century Gothic" w:hAnsi="Century Gothic"/>
          <w:lang w:val="es-MX"/>
        </w:rPr>
      </w:pPr>
    </w:p>
    <w:p w:rsidR="00333FD5" w:rsidRPr="0050035B" w:rsidRDefault="00333FD5" w:rsidP="002B2666">
      <w:pPr>
        <w:jc w:val="center"/>
        <w:rPr>
          <w:rFonts w:ascii="Century Gothic" w:hAnsi="Century Gothic"/>
          <w:lang w:val="es-MX"/>
        </w:rPr>
      </w:pPr>
    </w:p>
    <w:p w:rsidR="002B6A26" w:rsidRPr="0050035B" w:rsidRDefault="002B6A26">
      <w:pPr>
        <w:rPr>
          <w:rFonts w:ascii="Century Gothic" w:hAnsi="Century Gothic"/>
          <w:b/>
          <w:lang w:val="es-MX"/>
        </w:rPr>
      </w:pPr>
    </w:p>
    <w:p w:rsidR="002B6A26" w:rsidRPr="0050035B" w:rsidRDefault="002B6A26">
      <w:pPr>
        <w:rPr>
          <w:rFonts w:ascii="Century Gothic" w:hAnsi="Century Gothic"/>
          <w:b/>
          <w:lang w:val="es-MX"/>
        </w:rPr>
      </w:pPr>
    </w:p>
    <w:p w:rsidR="002B6A26" w:rsidRPr="0050035B" w:rsidRDefault="002B6A26">
      <w:pPr>
        <w:rPr>
          <w:rFonts w:ascii="Century Gothic" w:hAnsi="Century Gothic"/>
          <w:b/>
          <w:lang w:val="es-MX"/>
        </w:rPr>
      </w:pPr>
    </w:p>
    <w:p w:rsidR="002B6A26" w:rsidRPr="0050035B" w:rsidRDefault="002B6A26">
      <w:pPr>
        <w:rPr>
          <w:rFonts w:ascii="Century Gothic" w:hAnsi="Century Gothic"/>
          <w:b/>
          <w:lang w:val="es-MX"/>
        </w:rPr>
      </w:pPr>
    </w:p>
    <w:p w:rsidR="002B6A26" w:rsidRPr="0050035B" w:rsidRDefault="002B6A26">
      <w:pPr>
        <w:rPr>
          <w:rFonts w:ascii="Century Gothic" w:hAnsi="Century Gothic"/>
          <w:b/>
          <w:lang w:val="es-MX"/>
        </w:rPr>
      </w:pPr>
    </w:p>
    <w:p w:rsidR="002B6A26" w:rsidRPr="0050035B" w:rsidRDefault="002B6A26">
      <w:pPr>
        <w:rPr>
          <w:rFonts w:ascii="Century Gothic" w:hAnsi="Century Gothic"/>
          <w:b/>
          <w:lang w:val="es-MX"/>
        </w:rPr>
      </w:pPr>
    </w:p>
    <w:p w:rsidR="002B6A26" w:rsidRPr="0050035B" w:rsidRDefault="009E6703">
      <w:pPr>
        <w:rPr>
          <w:rFonts w:ascii="Century Gothic" w:hAnsi="Century Gothic"/>
          <w:b/>
          <w:lang w:val="es-MX"/>
        </w:rPr>
      </w:pPr>
      <w:r w:rsidRPr="0050035B">
        <w:rPr>
          <w:rFonts w:ascii="Century Gothic" w:hAnsi="Century Gothic"/>
          <w:b/>
          <w:lang w:val="es-MX"/>
        </w:rPr>
        <w:br w:type="page"/>
      </w:r>
    </w:p>
    <w:p w:rsidR="008112B8" w:rsidRDefault="008112B8">
      <w:pPr>
        <w:rPr>
          <w:rFonts w:ascii="Century Gothic" w:hAnsi="Century Gothic"/>
          <w:b/>
          <w:lang w:val="es-MX"/>
        </w:rPr>
      </w:pPr>
      <w:r w:rsidRPr="008112B8">
        <w:rPr>
          <w:noProof/>
          <w:lang w:val="es-MX" w:eastAsia="es-MX"/>
        </w:rPr>
        <w:lastRenderedPageBreak/>
        <w:drawing>
          <wp:anchor distT="0" distB="0" distL="114300" distR="114300" simplePos="0" relativeHeight="251752448" behindDoc="1" locked="0" layoutInCell="1" allowOverlap="1" wp14:anchorId="544FCAEF" wp14:editId="79EBD65F">
            <wp:simplePos x="0" y="0"/>
            <wp:positionH relativeFrom="margin">
              <wp:align>left</wp:align>
            </wp:positionH>
            <wp:positionV relativeFrom="paragraph">
              <wp:posOffset>-176208</wp:posOffset>
            </wp:positionV>
            <wp:extent cx="5739187" cy="797029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9187" cy="79702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lang w:val="es-MX"/>
        </w:rPr>
        <w:br w:type="page"/>
      </w:r>
    </w:p>
    <w:p w:rsidR="002B2666" w:rsidRPr="0050035B" w:rsidRDefault="005267A7" w:rsidP="00462C17">
      <w:pPr>
        <w:rPr>
          <w:rFonts w:ascii="Century Gothic" w:hAnsi="Century Gothic"/>
          <w:b/>
          <w:lang w:val="es-MX"/>
        </w:rPr>
      </w:pPr>
      <w:r w:rsidRPr="0050035B">
        <w:rPr>
          <w:rFonts w:ascii="Century Gothic" w:hAnsi="Century Gothic"/>
          <w:b/>
          <w:lang w:val="es-MX"/>
        </w:rPr>
        <w:lastRenderedPageBreak/>
        <w:t>5</w:t>
      </w:r>
      <w:r w:rsidR="00462C17" w:rsidRPr="0050035B">
        <w:rPr>
          <w:rFonts w:ascii="Century Gothic" w:hAnsi="Century Gothic"/>
          <w:b/>
          <w:lang w:val="es-MX"/>
        </w:rPr>
        <w:t>.</w:t>
      </w:r>
      <w:r w:rsidR="002B2666" w:rsidRPr="0050035B">
        <w:rPr>
          <w:rFonts w:ascii="Century Gothic" w:hAnsi="Century Gothic"/>
          <w:b/>
          <w:lang w:val="es-MX"/>
        </w:rPr>
        <w:t xml:space="preserve"> </w:t>
      </w:r>
      <w:r w:rsidR="00C35C46" w:rsidRPr="0050035B">
        <w:rPr>
          <w:rFonts w:ascii="Century Gothic" w:hAnsi="Century Gothic"/>
          <w:b/>
          <w:lang w:val="es-MX"/>
        </w:rPr>
        <w:t>Glosario</w:t>
      </w:r>
    </w:p>
    <w:p w:rsidR="00A62158" w:rsidRPr="0050035B" w:rsidRDefault="00A62158" w:rsidP="00A62158">
      <w:pPr>
        <w:spacing w:line="360" w:lineRule="auto"/>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Accesorios de Derechos</w:t>
      </w:r>
      <w:r w:rsidRPr="0050035B">
        <w:rPr>
          <w:rFonts w:ascii="Century Gothic" w:hAnsi="Century Gothic"/>
          <w:lang w:val="es-MX"/>
        </w:rPr>
        <w:t>: Son los ingresos que se perciben por concepto de recargos, sanciones, gastos de ejecución, indemnizaciones, entre otros, asociados a los derechos, cuando éstos no se cubran oportunamente, de conformidad con la legislación aplicable en la materia (Acuerdo por el que se emite el Clasificador por Rubro de Ingresos).</w:t>
      </w:r>
    </w:p>
    <w:p w:rsidR="00FD56B7" w:rsidRPr="0050035B" w:rsidRDefault="00FD56B7" w:rsidP="00FD56B7">
      <w:pPr>
        <w:pStyle w:val="Prrafodelista"/>
        <w:spacing w:line="360" w:lineRule="auto"/>
        <w:ind w:left="345"/>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Accesorios de Impuestos:</w:t>
      </w:r>
      <w:r w:rsidRPr="0050035B">
        <w:rPr>
          <w:rFonts w:ascii="Century Gothic" w:hAnsi="Century Gothic"/>
          <w:lang w:val="es-MX"/>
        </w:rPr>
        <w:t xml:space="preserve"> Son los ingresos que se perciben por concepto de recargos, sanciones, gastos de ejecución, indemnizaciones, entre otros, asociados a los impuestos, cuando éstos no se cubran oportunamente, de conformidad con la legislación aplicable en la materia (Acuerdo por el que se emite el Clasificador por Rubro de Ingresos).</w:t>
      </w:r>
    </w:p>
    <w:p w:rsidR="00FD56B7" w:rsidRPr="0050035B" w:rsidRDefault="00FD56B7" w:rsidP="00FD56B7">
      <w:pPr>
        <w:pStyle w:val="Prrafodelista"/>
        <w:spacing w:line="360" w:lineRule="auto"/>
        <w:ind w:left="345"/>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Aportaciones</w:t>
      </w:r>
      <w:r w:rsidRPr="0050035B">
        <w:rPr>
          <w:rFonts w:ascii="Century Gothic" w:hAnsi="Century Gothic"/>
          <w:lang w:val="es-MX"/>
        </w:rPr>
        <w:t>: Son los ingresos que reciben las Entidades Federativas y Municipios previstos en la Ley de Coordinación Fiscal, cuyo gasto está condicionado a la consecución y cumplimiento de los objetivos que para cada tipo de aportación establece la legislación aplicable en la materia (Acuerdo por el que se emite el Clasificador por Rubro de Ingresos).</w:t>
      </w:r>
    </w:p>
    <w:p w:rsidR="00FD56B7" w:rsidRPr="0050035B" w:rsidRDefault="00FD56B7" w:rsidP="00FD56B7">
      <w:pPr>
        <w:pStyle w:val="Prrafodelista"/>
        <w:spacing w:line="360" w:lineRule="auto"/>
        <w:ind w:left="345"/>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Aprovechamientos (rubro):</w:t>
      </w:r>
      <w:r w:rsidRPr="0050035B">
        <w:rPr>
          <w:rFonts w:ascii="Century Gothic" w:hAnsi="Century Gothic"/>
          <w:lang w:val="es-MX"/>
        </w:rPr>
        <w:t xml:space="preserve"> Son los ingresos que percibe el Estado por funciones de derecho público distintos de: las contribuciones, los ingresos derivados de financiamientos y de los que obtengan los organismos descentralizados y las empresas de participación estatal y municipal (Acuerdo por el que se emite el Clasificador por Rubro de Ingresos).</w:t>
      </w:r>
    </w:p>
    <w:p w:rsidR="00FD56B7" w:rsidRPr="0050035B" w:rsidRDefault="00FD56B7" w:rsidP="00FD56B7">
      <w:pPr>
        <w:pStyle w:val="Prrafodelista"/>
        <w:spacing w:line="360" w:lineRule="auto"/>
        <w:ind w:left="345"/>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lastRenderedPageBreak/>
        <w:t>Aprovechamientos (tipo):</w:t>
      </w:r>
      <w:r w:rsidRPr="0050035B">
        <w:rPr>
          <w:rFonts w:ascii="Century Gothic" w:hAnsi="Century Gothic"/>
          <w:lang w:val="es-MX"/>
        </w:rPr>
        <w:t xml:space="preserve"> Son los ingresos que se perciben por funciones de derecho público, cuyos elementos pueden no estar previstos en una Ley sino, en una disposición administrativa de carácter general, provenientes de multas e indemnizaciones no fiscales, reintegros, juegos y sorteos, donativos, entre otros (Acuerdo por el que se emite el Clasificador por Rubro de Ingresos).</w:t>
      </w:r>
    </w:p>
    <w:p w:rsidR="00FD56B7" w:rsidRPr="0050035B" w:rsidRDefault="00FD56B7" w:rsidP="00FD56B7">
      <w:pPr>
        <w:spacing w:line="360" w:lineRule="auto"/>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Aprovechamientos Patrimoniales</w:t>
      </w:r>
      <w:r w:rsidRPr="0050035B">
        <w:rPr>
          <w:rFonts w:ascii="Century Gothic" w:hAnsi="Century Gothic"/>
          <w:lang w:val="es-MX"/>
        </w:rPr>
        <w:t>: Son los ingresos que se perciben por uso o enajenación de bienes muebles, inmuebles e intangibles, por recuperaciones de capital o en su caso patrimonio invertido, de conformidad con la legislación aplicable en la materia (Acuerdo por el que se emite el Clasificador por Rubro de Ingresos).</w:t>
      </w:r>
    </w:p>
    <w:p w:rsidR="00FD56B7" w:rsidRPr="0050035B" w:rsidRDefault="00FD56B7" w:rsidP="00FD56B7">
      <w:pPr>
        <w:spacing w:line="360" w:lineRule="auto"/>
        <w:rPr>
          <w:rFonts w:ascii="Century Gothic" w:hAnsi="Century Gothic"/>
          <w:lang w:val="es-MX"/>
        </w:rPr>
      </w:pPr>
    </w:p>
    <w:p w:rsidR="00FD56B7" w:rsidRPr="0050035B" w:rsidRDefault="00FD56B7" w:rsidP="00F845F1">
      <w:pPr>
        <w:pStyle w:val="Prrafodelista"/>
        <w:numPr>
          <w:ilvl w:val="0"/>
          <w:numId w:val="6"/>
        </w:numPr>
        <w:spacing w:line="360" w:lineRule="auto"/>
        <w:jc w:val="both"/>
        <w:rPr>
          <w:rFonts w:ascii="Century Gothic" w:hAnsi="Century Gothic"/>
          <w:lang w:val="es-MX"/>
        </w:rPr>
      </w:pPr>
      <w:r w:rsidRPr="0050035B">
        <w:rPr>
          <w:rFonts w:ascii="Century Gothic" w:hAnsi="Century Gothic"/>
          <w:b/>
          <w:lang w:val="es-MX"/>
        </w:rPr>
        <w:t>Criterios Generales de Política Económica:</w:t>
      </w:r>
      <w:r w:rsidRPr="0050035B">
        <w:rPr>
          <w:rFonts w:ascii="Century Gothic" w:hAnsi="Century Gothic"/>
          <w:lang w:val="es-MX"/>
        </w:rPr>
        <w:t xml:space="preserve"> el documento enviado por el Ejecutivo Federal al Congreso de la Unión, en los términos del artículo 42, fracción III, inciso a), de la Ley Federal de Presupuesto y Responsabilidad Hacendaria, el cual sirve de base para la elaboración de la Ley de Ingresos y el Presupuesto de Egresos de la Federación (Ley de Disciplina Financiera de las Entidades Federativas y los Municipios).</w:t>
      </w:r>
    </w:p>
    <w:p w:rsidR="00FD56B7" w:rsidRPr="0050035B" w:rsidRDefault="00FD56B7" w:rsidP="00FD56B7">
      <w:pPr>
        <w:pStyle w:val="Prrafodelista"/>
        <w:spacing w:line="360" w:lineRule="auto"/>
        <w:rPr>
          <w:rFonts w:ascii="Century Gothic" w:hAnsi="Century Gothic"/>
          <w:lang w:val="es-MX"/>
        </w:rPr>
      </w:pPr>
    </w:p>
    <w:p w:rsidR="00FD56B7"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Contribuciones de Mejoras:</w:t>
      </w:r>
      <w:r w:rsidRPr="0050035B">
        <w:rPr>
          <w:rFonts w:ascii="Century Gothic" w:hAnsi="Century Gothic"/>
          <w:lang w:val="es-MX"/>
        </w:rPr>
        <w:t xml:space="preserve"> Son las establecidas en Ley a cargo de las personas físicas y morales que se beneficien de manera directa por obras públicas (Acuerdo por el que se emite el Clasificador por Rubro de Ingresos).</w:t>
      </w:r>
    </w:p>
    <w:p w:rsidR="006E4F2B" w:rsidRPr="006E4F2B" w:rsidRDefault="006E4F2B" w:rsidP="006E4F2B">
      <w:pPr>
        <w:pStyle w:val="Prrafodelista"/>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Convenios:</w:t>
      </w:r>
      <w:r w:rsidRPr="0050035B">
        <w:rPr>
          <w:rFonts w:ascii="Century Gothic" w:hAnsi="Century Gothic"/>
          <w:lang w:val="es-MX"/>
        </w:rPr>
        <w:t xml:space="preserve"> Son los ingresos que reciben las Entidades Federativas y Municipios derivados de convenios de coordinación, colaboración, reasignación o descentralización según corresponda, los cuales se </w:t>
      </w:r>
      <w:r w:rsidRPr="0050035B">
        <w:rPr>
          <w:rFonts w:ascii="Century Gothic" w:hAnsi="Century Gothic"/>
          <w:lang w:val="es-MX"/>
        </w:rPr>
        <w:lastRenderedPageBreak/>
        <w:t>acuerdan entre la Federación, las Entidades Federativas y/o los Municipios (Acuerdo por el que se emite el Clasificador por Rubro de Ingresos).</w:t>
      </w:r>
    </w:p>
    <w:p w:rsidR="00FD56B7" w:rsidRPr="0050035B" w:rsidRDefault="00FD56B7" w:rsidP="00FD56B7">
      <w:pPr>
        <w:spacing w:line="360" w:lineRule="auto"/>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Derechos:</w:t>
      </w:r>
      <w:r w:rsidRPr="0050035B">
        <w:rPr>
          <w:rFonts w:ascii="Century Gothic" w:hAnsi="Century Gothic"/>
          <w:lang w:val="es-MX"/>
        </w:rPr>
        <w:t xml:space="preserve"> Son las contribuciones establecidas en Ley por el uso o aprovechamiento de los bienes del dominio público, así como por recibir servicios que presta el Estado en sus funciones de derecho público, excepto cuando se presten por organismos descentralizados u órganos desconcentrados cuando en este último caso, se trate de contraprestaciones que no se encuentren previstas en las leyes correspondientes. También son derechos las contribuciones a cargo de los organismos públicos descentralizados por prestar servicios exclusivos del Estado (Acuerdo por el que se emite el Clasificador por Rubro de Ingresos).</w:t>
      </w:r>
    </w:p>
    <w:p w:rsidR="00FD56B7" w:rsidRPr="0050035B" w:rsidRDefault="00FD56B7" w:rsidP="00FD56B7">
      <w:pPr>
        <w:spacing w:line="360" w:lineRule="auto"/>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Derechos por el Uso, Goce, Aprovechamiento o Explotación de Bienes de Dominio Público</w:t>
      </w:r>
      <w:r w:rsidRPr="0050035B">
        <w:rPr>
          <w:rFonts w:ascii="Century Gothic" w:hAnsi="Century Gothic"/>
          <w:lang w:val="es-MX"/>
        </w:rPr>
        <w:t>: Son las contribuciones derivadas de la contraprestación del uso, goce, aprovechamiento o explotación de bienes de dominio público, de conformidad con la legislación aplicable en la materia (Acuerdo por el que se emite el Clasificador por Rubro de Ingresos).</w:t>
      </w:r>
    </w:p>
    <w:p w:rsidR="00FD56B7" w:rsidRPr="0050035B" w:rsidRDefault="00FD56B7" w:rsidP="00FD56B7">
      <w:pPr>
        <w:pStyle w:val="Prrafodelista"/>
        <w:spacing w:line="360" w:lineRule="auto"/>
        <w:ind w:left="345"/>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Derechos por Prestación de Servicios:</w:t>
      </w:r>
      <w:r w:rsidRPr="0050035B">
        <w:rPr>
          <w:rFonts w:ascii="Century Gothic" w:hAnsi="Century Gothic"/>
          <w:lang w:val="es-MX"/>
        </w:rPr>
        <w:t xml:space="preserve"> Son las contribuciones derivadas por la contraprestación de servicios exclusivos del Estado, de conformidad con la legislación aplicable en la materia (Acuerdo por el que se emite el Clasificador por Rubro de Ingresos).</w:t>
      </w:r>
    </w:p>
    <w:p w:rsidR="00FD56B7" w:rsidRPr="0050035B" w:rsidRDefault="00FD56B7" w:rsidP="00FD56B7">
      <w:pPr>
        <w:spacing w:line="360" w:lineRule="auto"/>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lastRenderedPageBreak/>
        <w:t>Financiamiento Interno</w:t>
      </w:r>
      <w:r w:rsidRPr="0050035B">
        <w:rPr>
          <w:rFonts w:ascii="Century Gothic" w:hAnsi="Century Gothic"/>
          <w:lang w:val="es-MX"/>
        </w:rPr>
        <w:t>: Son los recursos que provienen de obligaciones contraídas por las Entidades Federativas, los Municipios y en su caso, las entidades del sector paraestatal o paramunicipal, a corto o largo plazo, con acreedores nacionales y pagaderos en el interior del país en moneda nacional, considerando lo previsto en la legislación aplicable en la materia (Acuerdo por el que se emite el Clasificador por Rubro de Ingresos).</w:t>
      </w:r>
    </w:p>
    <w:p w:rsidR="00FD56B7" w:rsidRPr="0050035B" w:rsidRDefault="00FD56B7" w:rsidP="00FD56B7">
      <w:pPr>
        <w:spacing w:line="360" w:lineRule="auto"/>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Impuestos</w:t>
      </w:r>
      <w:r w:rsidRPr="0050035B">
        <w:rPr>
          <w:rFonts w:ascii="Century Gothic" w:hAnsi="Century Gothic"/>
          <w:lang w:val="es-MX"/>
        </w:rPr>
        <w:t>: Son las contribuciones establecidas en Ley que deben pagar las personas físicas y morales que se encuentran en la situación jurídica o de hecho prevista por la misma y que sean distintas de las aportaciones de seguridad social, contribuciones de mejoras y derechos (Acuerdo por el que se emite el Clasificador por Rubro de Ingresos).</w:t>
      </w:r>
    </w:p>
    <w:p w:rsidR="00FD56B7" w:rsidRPr="0050035B" w:rsidRDefault="00FD56B7" w:rsidP="00FD56B7">
      <w:pPr>
        <w:spacing w:line="360" w:lineRule="auto"/>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Impuestos Sobre el Patrimonio:</w:t>
      </w:r>
      <w:r w:rsidRPr="0050035B">
        <w:rPr>
          <w:rFonts w:ascii="Century Gothic" w:hAnsi="Century Gothic"/>
          <w:lang w:val="es-MX"/>
        </w:rPr>
        <w:t xml:space="preserve"> Son las contribuciones derivadas de las imposiciones fiscales que en forma unilateral y obligatoria se fijan sobre los bienes propiedad de las personas físicas y/o morales, de conformidad con la legislación aplicable en la materia (Acuerdo por el que se emite el Clasificador por Rubro de Ingresos).</w:t>
      </w:r>
    </w:p>
    <w:p w:rsidR="00FD56B7" w:rsidRPr="0050035B" w:rsidRDefault="00FD56B7" w:rsidP="00FD56B7">
      <w:pPr>
        <w:spacing w:line="360" w:lineRule="auto"/>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Impuestos Sobre los Ingresos</w:t>
      </w:r>
      <w:r w:rsidRPr="0050035B">
        <w:rPr>
          <w:rFonts w:ascii="Century Gothic" w:hAnsi="Century Gothic"/>
          <w:lang w:val="es-MX"/>
        </w:rPr>
        <w:t>: Son las contribuciones derivadas de las imposiciones fiscales que en forma unilateral y obligatoria se fijan sobre los ingresos de las personas físicas y/o morales, de conformidad con la legislación aplicable en la materia (Acuerdo por el que se emite el Clasificador por Rubro de Ingresos).</w:t>
      </w:r>
    </w:p>
    <w:p w:rsidR="00FD56B7" w:rsidRPr="0050035B" w:rsidRDefault="00FD56B7" w:rsidP="00FD56B7">
      <w:pPr>
        <w:spacing w:line="360" w:lineRule="auto"/>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Incentivos Derivados de la Colaboración Fiscal:</w:t>
      </w:r>
      <w:r w:rsidRPr="0050035B">
        <w:rPr>
          <w:rFonts w:ascii="Century Gothic" w:hAnsi="Century Gothic"/>
          <w:lang w:val="es-MX"/>
        </w:rPr>
        <w:t xml:space="preserve"> Son los ingresos que reciben las Entidades Federativas y Municipios derivados del ejercicio de </w:t>
      </w:r>
      <w:r w:rsidRPr="0050035B">
        <w:rPr>
          <w:rFonts w:ascii="Century Gothic" w:hAnsi="Century Gothic"/>
          <w:lang w:val="es-MX"/>
        </w:rPr>
        <w:lastRenderedPageBreak/>
        <w:t>facultades delegadas por la Federación mediante la celebración de convenios de colaboración administrativa en materia fiscal; que comprenden las funciones de recaudación, fiscalización y administración de ingresos federales y por las que a cambio reciben incentivos económicos que implican la retribución de su colaboración (Acuerdo por el que se emite el Clasificador por Rubro de Ingresos).</w:t>
      </w:r>
    </w:p>
    <w:p w:rsidR="00FD56B7" w:rsidRPr="0050035B" w:rsidRDefault="00FD56B7" w:rsidP="00FD56B7">
      <w:pPr>
        <w:pStyle w:val="Prrafodelista"/>
        <w:spacing w:line="360" w:lineRule="auto"/>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Inflación:</w:t>
      </w:r>
      <w:r w:rsidRPr="0050035B">
        <w:rPr>
          <w:rFonts w:ascii="Century Gothic" w:hAnsi="Century Gothic"/>
          <w:lang w:val="es-MX"/>
        </w:rPr>
        <w:t xml:space="preserve"> la tasa de crecimiento promedio en un periodo determinado de los precios de una canasta de bienes y servicios; es la medida en la que aumentan los precios de los productos de un país (Portal BANXICO educa). </w:t>
      </w:r>
    </w:p>
    <w:p w:rsidR="00FD56B7" w:rsidRPr="0050035B" w:rsidRDefault="00FD56B7" w:rsidP="00FD56B7">
      <w:pPr>
        <w:pStyle w:val="Prrafodelista"/>
        <w:spacing w:line="360" w:lineRule="auto"/>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Ingresos Derivados de Financiamientos:</w:t>
      </w:r>
      <w:r w:rsidRPr="0050035B">
        <w:rPr>
          <w:rFonts w:ascii="Century Gothic" w:hAnsi="Century Gothic"/>
          <w:lang w:val="es-MX"/>
        </w:rPr>
        <w:t xml:space="preserve"> Son los ingresos obtenidos por la celebración de empréstitos internos o externos, a corto o largo plazo, aprobados en términos de la legislación correspondiente. Los créditos que se obtienen son por: emisiones de instrumentos en mercados nacionales e internacionales de capital, organismos financieros internacionales, créditos bilaterales y otras fuentes (Acuerdo por el que se emite el Clasificador por Rubro de Ingresos).</w:t>
      </w:r>
    </w:p>
    <w:p w:rsidR="00FD56B7" w:rsidRPr="0050035B" w:rsidRDefault="00FD56B7" w:rsidP="00FD56B7">
      <w:pPr>
        <w:spacing w:line="360" w:lineRule="auto"/>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Otros Derechos:</w:t>
      </w:r>
      <w:r w:rsidRPr="0050035B">
        <w:rPr>
          <w:rFonts w:ascii="Century Gothic" w:hAnsi="Century Gothic"/>
          <w:lang w:val="es-MX"/>
        </w:rPr>
        <w:t xml:space="preserve"> Son las contribuciones derivadas por contraprestaciones no incluidas en los tipos anteriores, de conformidad con la legislación aplicable en la materia (Acuerdo por el que se emite el Clasificador por Rubro de Ingresos).</w:t>
      </w:r>
    </w:p>
    <w:p w:rsidR="00FD56B7" w:rsidRPr="0050035B" w:rsidRDefault="00FD56B7" w:rsidP="00FD56B7">
      <w:pPr>
        <w:spacing w:line="360" w:lineRule="auto"/>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Participaciones, Aportaciones, Convenios, Incentivos Derivados de la Colaboración Fiscal y Fondos Distintos de Aportaciones</w:t>
      </w:r>
      <w:r w:rsidRPr="0050035B">
        <w:rPr>
          <w:rFonts w:ascii="Century Gothic" w:hAnsi="Century Gothic"/>
          <w:lang w:val="es-MX"/>
        </w:rPr>
        <w:t xml:space="preserve">: Son los recursos que reciben las Entidades Federativas y los Municipios por concepto de </w:t>
      </w:r>
      <w:r w:rsidRPr="0050035B">
        <w:rPr>
          <w:rFonts w:ascii="Century Gothic" w:hAnsi="Century Gothic"/>
          <w:lang w:val="es-MX"/>
        </w:rPr>
        <w:lastRenderedPageBreak/>
        <w:t>participaciones, aportaciones, convenios, incentivos derivados de la colaboración fiscal y fondos distintos de aportaciones (Acuerdo por el que se emite el Clasificador por Rubro de Ingresos).</w:t>
      </w:r>
    </w:p>
    <w:p w:rsidR="00FD56B7" w:rsidRPr="0050035B" w:rsidRDefault="00FD56B7" w:rsidP="00FD56B7">
      <w:pPr>
        <w:pStyle w:val="Prrafodelista"/>
        <w:spacing w:line="360" w:lineRule="auto"/>
        <w:ind w:left="345"/>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Participaciones:</w:t>
      </w:r>
      <w:r w:rsidRPr="0050035B">
        <w:rPr>
          <w:rFonts w:ascii="Century Gothic" w:hAnsi="Century Gothic"/>
          <w:lang w:val="es-MX"/>
        </w:rPr>
        <w:t xml:space="preserve"> Son los ingresos que reciben las Entidades Federativas y Municipios que se derivan de la adhesión al Sistema Nacional de Coordinación Fiscal, así como las que correspondan a sistemas estatales de coordinación fiscal, determinados por las leyes correspondientes (Acuerdo por el que se emite el Clasificador por Rubro de Ingresos).</w:t>
      </w:r>
    </w:p>
    <w:p w:rsidR="00FD56B7" w:rsidRPr="0050035B" w:rsidRDefault="00FD56B7" w:rsidP="00FD56B7">
      <w:pPr>
        <w:spacing w:line="360" w:lineRule="auto"/>
        <w:rPr>
          <w:rFonts w:ascii="Century Gothic" w:hAnsi="Century Gothic"/>
          <w:b/>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Producto Interno Bruto (PIB):</w:t>
      </w:r>
      <w:r w:rsidRPr="0050035B">
        <w:rPr>
          <w:rFonts w:ascii="Century Gothic" w:hAnsi="Century Gothic"/>
          <w:lang w:val="es-MX"/>
        </w:rPr>
        <w:t xml:space="preserve"> la contabilización de todos los bienes, servicios e inversiones que se producen en un país durante un determinado periodo, es utilizado para determinar la salud económica de un país (Portal BANXICO educa).</w:t>
      </w:r>
    </w:p>
    <w:p w:rsidR="00FD56B7" w:rsidRPr="0050035B" w:rsidRDefault="00FD56B7" w:rsidP="00FD56B7">
      <w:pPr>
        <w:pStyle w:val="Prrafodelista"/>
        <w:spacing w:line="360" w:lineRule="auto"/>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Productos (rubro):</w:t>
      </w:r>
      <w:r w:rsidRPr="0050035B">
        <w:rPr>
          <w:rFonts w:ascii="Century Gothic" w:hAnsi="Century Gothic"/>
          <w:lang w:val="es-MX"/>
        </w:rPr>
        <w:t xml:space="preserve"> Son los ingresos por contraprestaciones por los servicios que preste el Estado en sus funciones de derecho privado (Acuerdo por el que se emite el Clasificador por Rubro de Ingresos).</w:t>
      </w:r>
    </w:p>
    <w:p w:rsidR="00FD56B7" w:rsidRPr="0050035B" w:rsidRDefault="00FD56B7" w:rsidP="00FD56B7">
      <w:pPr>
        <w:pStyle w:val="Prrafodelista"/>
        <w:spacing w:line="360" w:lineRule="auto"/>
        <w:ind w:left="345"/>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Productos (tipo):</w:t>
      </w:r>
      <w:r w:rsidRPr="0050035B">
        <w:rPr>
          <w:rFonts w:ascii="Century Gothic" w:hAnsi="Century Gothic"/>
          <w:lang w:val="es-MX"/>
        </w:rPr>
        <w:t xml:space="preserve"> Son los ingresos por concepto de servicios otorgados por funciones de derecho privado, tales como los intereses que generan las cuentas bancarias de los entes públicos, entre otros, de conformidad con la legislación aplicable en la materia (Acuerdo por el que se emite el Clasificador por Rubro de Ingresos).</w:t>
      </w:r>
    </w:p>
    <w:p w:rsidR="002A670D" w:rsidRPr="0050035B" w:rsidRDefault="002A670D" w:rsidP="002A670D">
      <w:pPr>
        <w:pStyle w:val="Prrafodelista"/>
        <w:rPr>
          <w:rFonts w:ascii="Century Gothic" w:hAnsi="Century Gothic"/>
          <w:lang w:val="es-MX"/>
        </w:rPr>
      </w:pPr>
    </w:p>
    <w:p w:rsidR="00A7623C" w:rsidRPr="0050035B" w:rsidRDefault="002A670D"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Proyecto de Presupuesto de Ingresos (PLI):</w:t>
      </w:r>
      <w:r w:rsidRPr="0050035B">
        <w:rPr>
          <w:rFonts w:ascii="Century Gothic" w:hAnsi="Century Gothic"/>
          <w:lang w:val="es-MX"/>
        </w:rPr>
        <w:t xml:space="preserve"> Proyecto de Ley de Ingresos o Iniciativa de Ley de Ingresos, como es denominada en las Leyes General </w:t>
      </w:r>
      <w:r w:rsidRPr="0050035B">
        <w:rPr>
          <w:rFonts w:ascii="Century Gothic" w:hAnsi="Century Gothic"/>
          <w:lang w:val="es-MX"/>
        </w:rPr>
        <w:lastRenderedPageBreak/>
        <w:t>de Contabilidad Gubernamental y de Disciplina Financiera de las Entidades Federativas y los Municipios.</w:t>
      </w:r>
    </w:p>
    <w:p w:rsidR="00FD56B7" w:rsidRPr="0050035B" w:rsidRDefault="00FD56B7" w:rsidP="00FD56B7">
      <w:pPr>
        <w:spacing w:line="360" w:lineRule="auto"/>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Rubro:</w:t>
      </w:r>
      <w:r w:rsidRPr="0050035B">
        <w:rPr>
          <w:rFonts w:ascii="Century Gothic" w:hAnsi="Century Gothic"/>
          <w:lang w:val="es-MX"/>
        </w:rPr>
        <w:t xml:space="preserve"> El mayor nivel de agregación del CRI que presenta y ordena los grupos principales de los ingresos públicos en función de su diferente naturaleza y el carácter de las transacciones que le dan origen (Acuerdo por el que se emite el Clasificador por Rubro de Ingresos).</w:t>
      </w:r>
    </w:p>
    <w:p w:rsidR="00FD56B7" w:rsidRPr="0050035B" w:rsidRDefault="00FD56B7" w:rsidP="00FD56B7">
      <w:pPr>
        <w:pStyle w:val="Prrafodelista"/>
        <w:spacing w:line="360" w:lineRule="auto"/>
        <w:ind w:left="345"/>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Subsidios y Subvenciones</w:t>
      </w:r>
      <w:r w:rsidRPr="0050035B">
        <w:rPr>
          <w:rFonts w:ascii="Century Gothic" w:hAnsi="Century Gothic"/>
          <w:lang w:val="es-MX"/>
        </w:rPr>
        <w:t>: Son los ingresos destinados para el desarrollo de actividades prioritarias de interés general, que reciben los entes públicos mediante asignación directa de recursos, con el fin de favorecer a los diferentes sectores de la sociedad para: apoyar en sus operaciones, mantener los niveles en los precios, apoyar el consumo, la distribución y comercialización de bienes, motivar la inversión, cubrir impactos financieros, promover la innovación tecnológica, y para el fomento de las actividades agropecuarias, industriales o de servicios (Acuerdo por el que se emite el Clasificador por Rubro de Ingresos).</w:t>
      </w:r>
    </w:p>
    <w:p w:rsidR="00FD56B7" w:rsidRPr="0050035B" w:rsidRDefault="00FD56B7" w:rsidP="00FD56B7">
      <w:pPr>
        <w:pStyle w:val="Prrafodelista"/>
        <w:spacing w:line="360" w:lineRule="auto"/>
        <w:ind w:left="345"/>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Tipo:</w:t>
      </w:r>
      <w:r w:rsidRPr="0050035B">
        <w:rPr>
          <w:rFonts w:ascii="Century Gothic" w:hAnsi="Century Gothic"/>
          <w:lang w:val="es-MX"/>
        </w:rPr>
        <w:t xml:space="preserve"> Determina el conjunto de ingresos públicos que integran cada rubro, cuyo nivel de agregación es intermedio (Acuerdo por el que se emite el Clasificador por Rubro de Ingresos).</w:t>
      </w:r>
    </w:p>
    <w:p w:rsidR="00FD56B7" w:rsidRPr="0050035B" w:rsidRDefault="00FD56B7" w:rsidP="00FD56B7">
      <w:pPr>
        <w:pStyle w:val="Prrafodelista"/>
        <w:spacing w:line="360" w:lineRule="auto"/>
        <w:ind w:left="345"/>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Transferencias, Asignaciones, Subsidios y Subvenciones, y Pensiones y Jubilaciones (rubro):</w:t>
      </w:r>
      <w:r w:rsidRPr="0050035B">
        <w:rPr>
          <w:rFonts w:ascii="Century Gothic" w:hAnsi="Century Gothic"/>
          <w:lang w:val="es-MX"/>
        </w:rPr>
        <w:t xml:space="preserve"> Son los recursos que reciben en forma directa o indirecta los entes públicos como parte de su política económica y social, de acuerdo a las estrategias y prioridades de desarrollo para el sostenimiento y desempeño de sus actividades (Acuerdo por el que se emite el Clasificador por Rubro de Ingresos).</w:t>
      </w:r>
    </w:p>
    <w:p w:rsidR="00FD56B7" w:rsidRPr="0050035B" w:rsidRDefault="00FD56B7" w:rsidP="00FD56B7">
      <w:pPr>
        <w:pStyle w:val="Prrafodelista"/>
        <w:spacing w:line="360" w:lineRule="auto"/>
        <w:rPr>
          <w:rFonts w:ascii="Century Gothic" w:hAnsi="Century Gothic"/>
          <w:lang w:val="es-MX"/>
        </w:rPr>
      </w:pPr>
    </w:p>
    <w:p w:rsidR="00FD56B7" w:rsidRPr="0050035B" w:rsidRDefault="00FD56B7" w:rsidP="00F845F1">
      <w:pPr>
        <w:pStyle w:val="Prrafodelista"/>
        <w:numPr>
          <w:ilvl w:val="0"/>
          <w:numId w:val="6"/>
        </w:numPr>
        <w:spacing w:after="5" w:line="360" w:lineRule="auto"/>
        <w:jc w:val="both"/>
        <w:rPr>
          <w:rFonts w:ascii="Century Gothic" w:hAnsi="Century Gothic"/>
          <w:lang w:val="es-MX"/>
        </w:rPr>
      </w:pPr>
      <w:r w:rsidRPr="0050035B">
        <w:rPr>
          <w:rFonts w:ascii="Century Gothic" w:hAnsi="Century Gothic"/>
          <w:b/>
          <w:lang w:val="es-MX"/>
        </w:rPr>
        <w:t>Unidad de Medida y Actualización (UMA):</w:t>
      </w:r>
      <w:r w:rsidRPr="0050035B">
        <w:rPr>
          <w:rFonts w:ascii="Century Gothic" w:hAnsi="Century Gothic"/>
          <w:lang w:val="es-MX"/>
        </w:rPr>
        <w:t xml:space="preserve"> la referencia económica en pesos para determinar la cuantía del pago de las obligaciones y supuestos previstos en las leyes federales, de las Entidades Federativas y del Distrito Federal, así como en las disposiciones jurídicas que emanen de todas las anteriores (INEGI, portal UMA).</w:t>
      </w:r>
    </w:p>
    <w:p w:rsidR="00FD56B7" w:rsidRPr="0050035B" w:rsidRDefault="00FD56B7" w:rsidP="00FD56B7">
      <w:pPr>
        <w:spacing w:line="360" w:lineRule="auto"/>
        <w:rPr>
          <w:rFonts w:ascii="Century Gothic" w:hAnsi="Century Gothic"/>
          <w:lang w:val="es-MX"/>
        </w:rPr>
      </w:pPr>
      <w:r w:rsidRPr="0050035B">
        <w:rPr>
          <w:rFonts w:ascii="Century Gothic" w:hAnsi="Century Gothic"/>
          <w:lang w:val="es-MX"/>
        </w:rPr>
        <w:t xml:space="preserve"> </w:t>
      </w:r>
    </w:p>
    <w:p w:rsidR="00FD56B7" w:rsidRPr="0050035B" w:rsidRDefault="00FD56B7" w:rsidP="00FD56B7">
      <w:pPr>
        <w:spacing w:line="360" w:lineRule="auto"/>
        <w:jc w:val="both"/>
        <w:rPr>
          <w:rFonts w:ascii="Century Gothic" w:hAnsi="Century Gothic"/>
          <w:lang w:val="es-MX"/>
        </w:rPr>
      </w:pPr>
      <w:r w:rsidRPr="0050035B">
        <w:rPr>
          <w:rFonts w:ascii="Century Gothic" w:hAnsi="Century Gothic"/>
          <w:lang w:val="es-MX"/>
        </w:rPr>
        <w:t>Cualquier otro término no contemplado en el presente considerando, se deberá entender conforme al glosario de la Ley General de Contabilidad Gubernamental, la Ley de Disciplina Financiera de las Entidades Federativas y los Municipios y las demás leyes de la materia.</w:t>
      </w:r>
    </w:p>
    <w:p w:rsidR="007E7177" w:rsidRPr="0050035B" w:rsidRDefault="007E7177" w:rsidP="00FD56B7">
      <w:pPr>
        <w:pStyle w:val="Prrafodelista"/>
        <w:spacing w:line="360" w:lineRule="auto"/>
        <w:rPr>
          <w:rFonts w:ascii="Century Gothic" w:hAnsi="Century Gothic"/>
          <w:lang w:val="es-MX"/>
        </w:rPr>
      </w:pPr>
    </w:p>
    <w:p w:rsidR="007C39BA" w:rsidRPr="0050035B" w:rsidRDefault="007C39BA" w:rsidP="007C39BA">
      <w:pPr>
        <w:pStyle w:val="Prrafodelista"/>
        <w:rPr>
          <w:rFonts w:ascii="Century Gothic" w:hAnsi="Century Gothic"/>
          <w:lang w:val="es-MX"/>
        </w:rPr>
      </w:pPr>
    </w:p>
    <w:sectPr w:rsidR="007C39BA" w:rsidRPr="0050035B" w:rsidSect="005D38BC">
      <w:pgSz w:w="12240" w:h="15840"/>
      <w:pgMar w:top="1954" w:right="1440" w:bottom="1440" w:left="1985" w:header="708" w:footer="674"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F5E" w:rsidRDefault="002B3F5E" w:rsidP="005C66AC">
      <w:r>
        <w:separator/>
      </w:r>
    </w:p>
  </w:endnote>
  <w:endnote w:type="continuationSeparator" w:id="0">
    <w:p w:rsidR="002B3F5E" w:rsidRDefault="002B3F5E" w:rsidP="005C6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altName w:val="Sitka Small"/>
    <w:charset w:val="00"/>
    <w:family w:val="auto"/>
    <w:pitch w:val="variable"/>
    <w:sig w:usb0="8000002F" w:usb1="4000204A"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ABA" w:rsidRDefault="00C12ABA" w:rsidP="00A4244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C12ABA" w:rsidRDefault="00C12ABA" w:rsidP="005C66A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ABA" w:rsidRDefault="00C12ABA">
    <w:pPr>
      <w:pStyle w:val="Piedepgina"/>
      <w:jc w:val="right"/>
    </w:pPr>
    <w:r>
      <w:rPr>
        <w:noProof/>
        <w:lang w:val="es-MX" w:eastAsia="es-MX"/>
      </w:rPr>
      <mc:AlternateContent>
        <mc:Choice Requires="wps">
          <w:drawing>
            <wp:anchor distT="45720" distB="45720" distL="114300" distR="114300" simplePos="0" relativeHeight="251659776" behindDoc="0" locked="0" layoutInCell="1" allowOverlap="1" wp14:anchorId="43DC7976" wp14:editId="7C307F0A">
              <wp:simplePos x="0" y="0"/>
              <wp:positionH relativeFrom="column">
                <wp:posOffset>5221605</wp:posOffset>
              </wp:positionH>
              <wp:positionV relativeFrom="paragraph">
                <wp:posOffset>170815</wp:posOffset>
              </wp:positionV>
              <wp:extent cx="668655" cy="32639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26390"/>
                      </a:xfrm>
                      <a:prstGeom prst="rect">
                        <a:avLst/>
                      </a:prstGeom>
                      <a:noFill/>
                      <a:ln w="9525">
                        <a:noFill/>
                        <a:miter lim="800000"/>
                        <a:headEnd/>
                        <a:tailEnd/>
                      </a:ln>
                    </wps:spPr>
                    <wps:txbx>
                      <w:txbxContent>
                        <w:p w:rsidR="00C12ABA" w:rsidRPr="00B56651" w:rsidRDefault="002B3F5E" w:rsidP="00B56651">
                          <w:pPr>
                            <w:jc w:val="center"/>
                            <w:rPr>
                              <w:rFonts w:ascii="Century Gothic" w:hAnsi="Century Gothic"/>
                              <w:sz w:val="20"/>
                              <w:szCs w:val="20"/>
                              <w14:props3d w14:extrusionH="57150" w14:contourW="0" w14:prstMaterial="warmMatte">
                                <w14:bevelT w14:w="38100" w14:h="38100" w14:prst="circle"/>
                              </w14:props3d>
                            </w:rPr>
                          </w:pPr>
                          <w:sdt>
                            <w:sdtPr>
                              <w:rPr>
                                <w:rFonts w:ascii="Century Gothic" w:hAnsi="Century Gothic"/>
                                <w:sz w:val="20"/>
                                <w:szCs w:val="20"/>
                                <w14:props3d w14:extrusionH="57150" w14:contourW="0" w14:prstMaterial="warmMatte">
                                  <w14:bevelT w14:w="38100" w14:h="38100" w14:prst="circle"/>
                                </w14:props3d>
                              </w:rPr>
                              <w:id w:val="1904410738"/>
                              <w:docPartObj>
                                <w:docPartGallery w:val="Page Numbers (Bottom of Page)"/>
                                <w:docPartUnique/>
                              </w:docPartObj>
                            </w:sdtPr>
                            <w:sdtEndPr/>
                            <w:sdtContent>
                              <w:r w:rsidR="00C12ABA" w:rsidRPr="00B56651">
                                <w:rPr>
                                  <w:rFonts w:ascii="Century Gothic" w:hAnsi="Century Gothic"/>
                                  <w:sz w:val="20"/>
                                  <w:szCs w:val="20"/>
                                  <w14:props3d w14:extrusionH="57150" w14:contourW="0" w14:prstMaterial="warmMatte">
                                    <w14:bevelT w14:w="38100" w14:h="38100" w14:prst="circle"/>
                                  </w14:props3d>
                                </w:rPr>
                                <w:fldChar w:fldCharType="begin"/>
                              </w:r>
                              <w:r w:rsidR="00C12ABA" w:rsidRPr="00B56651">
                                <w:rPr>
                                  <w:rFonts w:ascii="Century Gothic" w:hAnsi="Century Gothic"/>
                                  <w:sz w:val="20"/>
                                  <w:szCs w:val="20"/>
                                  <w14:props3d w14:extrusionH="57150" w14:contourW="0" w14:prstMaterial="warmMatte">
                                    <w14:bevelT w14:w="38100" w14:h="38100" w14:prst="circle"/>
                                  </w14:props3d>
                                </w:rPr>
                                <w:instrText>PAGE   \* MERGEFORMAT</w:instrText>
                              </w:r>
                              <w:r w:rsidR="00C12ABA" w:rsidRPr="00B56651">
                                <w:rPr>
                                  <w:rFonts w:ascii="Century Gothic" w:hAnsi="Century Gothic"/>
                                  <w:sz w:val="20"/>
                                  <w:szCs w:val="20"/>
                                  <w14:props3d w14:extrusionH="57150" w14:contourW="0" w14:prstMaterial="warmMatte">
                                    <w14:bevelT w14:w="38100" w14:h="38100" w14:prst="circle"/>
                                  </w14:props3d>
                                </w:rPr>
                                <w:fldChar w:fldCharType="separate"/>
                              </w:r>
                              <w:r w:rsidR="003A3660" w:rsidRPr="003A3660">
                                <w:rPr>
                                  <w:rFonts w:ascii="Century Gothic" w:hAnsi="Century Gothic"/>
                                  <w:noProof/>
                                  <w:sz w:val="20"/>
                                  <w:szCs w:val="20"/>
                                  <w:lang w:val="es-ES"/>
                                  <w14:props3d w14:extrusionH="57150" w14:contourW="0" w14:prstMaterial="warmMatte">
                                    <w14:bevelT w14:w="38100" w14:h="38100" w14:prst="circle"/>
                                  </w14:props3d>
                                </w:rPr>
                                <w:t>4</w:t>
                              </w:r>
                              <w:r w:rsidR="00C12ABA" w:rsidRPr="00B56651">
                                <w:rPr>
                                  <w:rFonts w:ascii="Century Gothic" w:hAnsi="Century Gothic"/>
                                  <w:sz w:val="20"/>
                                  <w:szCs w:val="20"/>
                                  <w14:props3d w14:extrusionH="57150" w14:contourW="0" w14:prstMaterial="warmMatte">
                                    <w14:bevelT w14:w="38100" w14:h="38100" w14:prst="circle"/>
                                  </w14:props3d>
                                </w:rPr>
                                <w:fldChar w:fldCharType="end"/>
                              </w:r>
                            </w:sdtContent>
                          </w:sdt>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type w14:anchorId="43DC7976" id="_x0000_t202" coordsize="21600,21600" o:spt="202" path="m,l,21600r21600,l21600,xe">
              <v:stroke joinstyle="miter"/>
              <v:path gradientshapeok="t" o:connecttype="rect"/>
            </v:shapetype>
            <v:shape id="Cuadro de texto 2" o:spid="_x0000_s1026" type="#_x0000_t202" style="position:absolute;left:0;text-align:left;margin-left:411.15pt;margin-top:13.45pt;width:52.65pt;height:25.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" filled="f" stroked="f">
              <v:textbox>
                <w:txbxContent>
                  <w:p w:rsidR="00C12ABA" w:rsidRPr="00B56651" w:rsidRDefault="002B3F5E" w:rsidP="00B56651">
                    <w:pPr>
                      <w:jc w:val="center"/>
                      <w:rPr>
                        <w:rFonts w:ascii="Century Gothic" w:hAnsi="Century Gothic"/>
                        <w:sz w:val="20"/>
                        <w:szCs w:val="20"/>
                        <w14:props3d w14:extrusionH="57150" w14:contourW="0" w14:prstMaterial="warmMatte">
                          <w14:bevelT w14:w="38100" w14:h="38100" w14:prst="circle"/>
                        </w14:props3d>
                      </w:rPr>
                    </w:pPr>
                    <w:sdt>
                      <w:sdtPr>
                        <w:rPr>
                          <w:rFonts w:ascii="Century Gothic" w:hAnsi="Century Gothic"/>
                          <w:sz w:val="20"/>
                          <w:szCs w:val="20"/>
                          <w14:props3d w14:extrusionH="57150" w14:contourW="0" w14:prstMaterial="warmMatte">
                            <w14:bevelT w14:w="38100" w14:h="38100" w14:prst="circle"/>
                          </w14:props3d>
                        </w:rPr>
                        <w:id w:val="1904410738"/>
                        <w:docPartObj>
                          <w:docPartGallery w:val="Page Numbers (Bottom of Page)"/>
                          <w:docPartUnique/>
                        </w:docPartObj>
                      </w:sdtPr>
                      <w:sdtEndPr/>
                      <w:sdtContent>
                        <w:r w:rsidR="00C12ABA" w:rsidRPr="00B56651">
                          <w:rPr>
                            <w:rFonts w:ascii="Century Gothic" w:hAnsi="Century Gothic"/>
                            <w:sz w:val="20"/>
                            <w:szCs w:val="20"/>
                            <w14:props3d w14:extrusionH="57150" w14:contourW="0" w14:prstMaterial="warmMatte">
                              <w14:bevelT w14:w="38100" w14:h="38100" w14:prst="circle"/>
                            </w14:props3d>
                          </w:rPr>
                          <w:fldChar w:fldCharType="begin"/>
                        </w:r>
                        <w:r w:rsidR="00C12ABA" w:rsidRPr="00B56651">
                          <w:rPr>
                            <w:rFonts w:ascii="Century Gothic" w:hAnsi="Century Gothic"/>
                            <w:sz w:val="20"/>
                            <w:szCs w:val="20"/>
                            <w14:props3d w14:extrusionH="57150" w14:contourW="0" w14:prstMaterial="warmMatte">
                              <w14:bevelT w14:w="38100" w14:h="38100" w14:prst="circle"/>
                            </w14:props3d>
                          </w:rPr>
                          <w:instrText>PAGE   \* MERGEFORMAT</w:instrText>
                        </w:r>
                        <w:r w:rsidR="00C12ABA" w:rsidRPr="00B56651">
                          <w:rPr>
                            <w:rFonts w:ascii="Century Gothic" w:hAnsi="Century Gothic"/>
                            <w:sz w:val="20"/>
                            <w:szCs w:val="20"/>
                            <w14:props3d w14:extrusionH="57150" w14:contourW="0" w14:prstMaterial="warmMatte">
                              <w14:bevelT w14:w="38100" w14:h="38100" w14:prst="circle"/>
                            </w14:props3d>
                          </w:rPr>
                          <w:fldChar w:fldCharType="separate"/>
                        </w:r>
                        <w:r w:rsidR="003A3660" w:rsidRPr="003A3660">
                          <w:rPr>
                            <w:rFonts w:ascii="Century Gothic" w:hAnsi="Century Gothic"/>
                            <w:noProof/>
                            <w:sz w:val="20"/>
                            <w:szCs w:val="20"/>
                            <w:lang w:val="es-ES"/>
                            <w14:props3d w14:extrusionH="57150" w14:contourW="0" w14:prstMaterial="warmMatte">
                              <w14:bevelT w14:w="38100" w14:h="38100" w14:prst="circle"/>
                            </w14:props3d>
                          </w:rPr>
                          <w:t>4</w:t>
                        </w:r>
                        <w:r w:rsidR="00C12ABA" w:rsidRPr="00B56651">
                          <w:rPr>
                            <w:rFonts w:ascii="Century Gothic" w:hAnsi="Century Gothic"/>
                            <w:sz w:val="20"/>
                            <w:szCs w:val="20"/>
                            <w14:props3d w14:extrusionH="57150" w14:contourW="0" w14:prstMaterial="warmMatte">
                              <w14:bevelT w14:w="38100" w14:h="38100" w14:prst="circle"/>
                            </w14:props3d>
                          </w:rPr>
                          <w:fldChar w:fldCharType="end"/>
                        </w:r>
                      </w:sdtContent>
                    </w:sdt>
                  </w:p>
                </w:txbxContent>
              </v:textbox>
              <w10:wrap type="square"/>
            </v:shape>
          </w:pict>
        </mc:Fallback>
      </mc:AlternateContent>
    </w:r>
    <w:r>
      <w:rPr>
        <w:noProof/>
        <w:lang w:val="es-MX" w:eastAsia="es-MX"/>
      </w:rPr>
      <mc:AlternateContent>
        <mc:Choice Requires="wpg">
          <w:drawing>
            <wp:anchor distT="0" distB="0" distL="114300" distR="114300" simplePos="0" relativeHeight="251656704" behindDoc="1" locked="0" layoutInCell="1" allowOverlap="1" wp14:anchorId="3464A8D5" wp14:editId="6BD56C5D">
              <wp:simplePos x="0" y="0"/>
              <wp:positionH relativeFrom="column">
                <wp:posOffset>-1435735</wp:posOffset>
              </wp:positionH>
              <wp:positionV relativeFrom="paragraph">
                <wp:posOffset>107315</wp:posOffset>
              </wp:positionV>
              <wp:extent cx="8213725" cy="1323975"/>
              <wp:effectExtent l="57150" t="19050" r="73025" b="523875"/>
              <wp:wrapNone/>
              <wp:docPr id="18" name="Grupo 18"/>
              <wp:cNvGraphicFramePr/>
              <a:graphic xmlns:a="http://schemas.openxmlformats.org/drawingml/2006/main">
                <a:graphicData uri="http://schemas.microsoft.com/office/word/2010/wordprocessingGroup">
                  <wpg:wgp>
                    <wpg:cNvGrpSpPr/>
                    <wpg:grpSpPr>
                      <a:xfrm>
                        <a:off x="0" y="0"/>
                        <a:ext cx="8213725" cy="1323975"/>
                        <a:chOff x="0" y="0"/>
                        <a:chExt cx="8213809" cy="1324270"/>
                      </a:xfrm>
                    </wpg:grpSpPr>
                    <wps:wsp>
                      <wps:cNvPr id="10" name="Rectángulo 10"/>
                      <wps:cNvSpPr/>
                      <wps:spPr>
                        <a:xfrm>
                          <a:off x="0" y="0"/>
                          <a:ext cx="8031480" cy="746760"/>
                        </a:xfrm>
                        <a:prstGeom prst="rect">
                          <a:avLst/>
                        </a:prstGeom>
                        <a:solidFill>
                          <a:srgbClr val="FDDFC7"/>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579121" y="91440"/>
                          <a:ext cx="3223299" cy="2590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C12ABA" w:rsidRPr="00B56651" w:rsidRDefault="00C12ABA" w:rsidP="00B56651">
                            <w:pPr>
                              <w:rPr>
                                <w:rFonts w:ascii="Century Gothic" w:hAnsi="Century Gothic"/>
                                <w:sz w:val="20"/>
                                <w:lang w:val="es-ES"/>
                                <w14:shadow w14:blurRad="63500" w14:dist="50800" w14:dir="18900000" w14:sx="0" w14:sy="0" w14:kx="0" w14:ky="0" w14:algn="none">
                                  <w14:srgbClr w14:val="000000">
                                    <w14:alpha w14:val="50000"/>
                                  </w14:srgbClr>
                                </w14:shadow>
                                <w14:props3d w14:extrusionH="57150" w14:contourW="0" w14:prstMaterial="warmMatte">
                                  <w14:bevelT w14:w="38100" w14:h="38100" w14:prst="circle"/>
                                </w14:props3d>
                              </w:rPr>
                            </w:pPr>
                            <w:r>
                              <w:rPr>
                                <w:rFonts w:ascii="Century Gothic" w:hAnsi="Century Gothic"/>
                                <w:sz w:val="20"/>
                                <w:lang w:val="es-ES"/>
                                <w14:shadow w14:blurRad="63500" w14:dist="50800" w14:dir="18900000" w14:sx="0" w14:sy="0" w14:kx="0" w14:ky="0" w14:algn="none">
                                  <w14:srgbClr w14:val="000000">
                                    <w14:alpha w14:val="50000"/>
                                  </w14:srgbClr>
                                </w14:shadow>
                                <w14:props3d w14:extrusionH="57150" w14:contourW="0" w14:prstMaterial="warmMatte">
                                  <w14:bevelT w14:w="38100" w14:h="38100" w14:prst="circle"/>
                                </w14:props3d>
                              </w:rPr>
                              <w:t>GOBIERNO</w:t>
                            </w:r>
                            <w:r w:rsidRPr="00B56651">
                              <w:rPr>
                                <w:rFonts w:ascii="Century Gothic" w:hAnsi="Century Gothic"/>
                                <w:sz w:val="20"/>
                                <w:lang w:val="es-ES"/>
                                <w14:shadow w14:blurRad="63500" w14:dist="50800" w14:dir="18900000" w14:sx="0" w14:sy="0" w14:kx="0" w14:ky="0" w14:algn="none">
                                  <w14:srgbClr w14:val="000000">
                                    <w14:alpha w14:val="50000"/>
                                  </w14:srgbClr>
                                </w14:shadow>
                                <w14:props3d w14:extrusionH="57150" w14:contourW="0" w14:prstMaterial="warmMatte">
                                  <w14:bevelT w14:w="38100" w14:h="38100" w14:prst="circle"/>
                                </w14:props3d>
                              </w:rPr>
                              <w:t xml:space="preserve"> DE MONTERREY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sp3d>
                      </wps:bodyPr>
                    </wps:wsp>
                    <wps:wsp>
                      <wps:cNvPr id="13" name="Rectángulo 13"/>
                      <wps:cNvSpPr/>
                      <wps:spPr>
                        <a:xfrm rot="20389045">
                          <a:off x="5414219" y="456371"/>
                          <a:ext cx="2799590" cy="867899"/>
                        </a:xfrm>
                        <a:prstGeom prst="rect">
                          <a:avLst/>
                        </a:prstGeom>
                        <a:solidFill>
                          <a:schemeClr val="bg1">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64A8D5" id="Grupo 18" o:spid="_x0000_s1027" style="position:absolute;left:0;text-align:left;margin-left:-113.05pt;margin-top:8.45pt;width:646.75pt;height:104.25pt;z-index:-251659776;mso-width-relative:margin;mso-height-relative:margin" coordsize="82138,1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">
              <v:rect id="Rectángulo 10" o:spid="_x0000_s1028" style="position:absolute;width:80314;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" fillcolor="#fddfc7" stroked="f">
                <v:shadow on="t" color="black" opacity="22937f" origin=",.5" offset="0,.63889mm"/>
              </v:rect>
              <v:shape id="Text Box 5" o:spid="_x0000_s1029" type="#_x0000_t202" style="position:absolute;left:5791;top:914;width:32233;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C12ABA" w:rsidRPr="00B56651" w:rsidRDefault="00C12ABA" w:rsidP="00B56651">
                      <w:pPr>
                        <w:rPr>
                          <w:rFonts w:ascii="Century Gothic" w:hAnsi="Century Gothic"/>
                          <w:sz w:val="20"/>
                          <w:lang w:val="es-ES"/>
                          <w14:shadow w14:blurRad="63500" w14:dist="50800" w14:dir="18900000" w14:sx="0" w14:sy="0" w14:kx="0" w14:ky="0" w14:algn="none">
                            <w14:srgbClr w14:val="000000">
                              <w14:alpha w14:val="50000"/>
                            </w14:srgbClr>
                          </w14:shadow>
                          <w14:props3d w14:extrusionH="57150" w14:contourW="0" w14:prstMaterial="warmMatte">
                            <w14:bevelT w14:w="38100" w14:h="38100" w14:prst="circle"/>
                          </w14:props3d>
                        </w:rPr>
                      </w:pPr>
                      <w:r>
                        <w:rPr>
                          <w:rFonts w:ascii="Century Gothic" w:hAnsi="Century Gothic"/>
                          <w:sz w:val="20"/>
                          <w:lang w:val="es-ES"/>
                          <w14:shadow w14:blurRad="63500" w14:dist="50800" w14:dir="18900000" w14:sx="0" w14:sy="0" w14:kx="0" w14:ky="0" w14:algn="none">
                            <w14:srgbClr w14:val="000000">
                              <w14:alpha w14:val="50000"/>
                            </w14:srgbClr>
                          </w14:shadow>
                          <w14:props3d w14:extrusionH="57150" w14:contourW="0" w14:prstMaterial="warmMatte">
                            <w14:bevelT w14:w="38100" w14:h="38100" w14:prst="circle"/>
                          </w14:props3d>
                        </w:rPr>
                        <w:t>GOBIERNO</w:t>
                      </w:r>
                      <w:r w:rsidRPr="00B56651">
                        <w:rPr>
                          <w:rFonts w:ascii="Century Gothic" w:hAnsi="Century Gothic"/>
                          <w:sz w:val="20"/>
                          <w:lang w:val="es-ES"/>
                          <w14:shadow w14:blurRad="63500" w14:dist="50800" w14:dir="18900000" w14:sx="0" w14:sy="0" w14:kx="0" w14:ky="0" w14:algn="none">
                            <w14:srgbClr w14:val="000000">
                              <w14:alpha w14:val="50000"/>
                            </w14:srgbClr>
                          </w14:shadow>
                          <w14:props3d w14:extrusionH="57150" w14:contourW="0" w14:prstMaterial="warmMatte">
                            <w14:bevelT w14:w="38100" w14:h="38100" w14:prst="circle"/>
                          </w14:props3d>
                        </w:rPr>
                        <w:t xml:space="preserve"> DE MONTERREY</w:t>
                      </w:r>
                    </w:p>
                  </w:txbxContent>
                </v:textbox>
              </v:shape>
              <v:rect id="Rectángulo 13" o:spid="_x0000_s1030" style="position:absolute;left:54142;top:4563;width:27996;height:8679;rotation:-13226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" fillcolor="#bfbfbf [2412]" stroked="f">
                <v:shadow on="t" color="black" opacity="22937f" origin=",.5" offset="0,.63889mm"/>
              </v:rect>
            </v:group>
          </w:pict>
        </mc:Fallback>
      </mc:AlternateContent>
    </w:r>
  </w:p>
  <w:p w:rsidR="00C12ABA" w:rsidRDefault="00C12ABA" w:rsidP="005C66AC">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ABA" w:rsidRDefault="00C12ABA" w:rsidP="00A42442">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F5E" w:rsidRDefault="002B3F5E" w:rsidP="005C66AC">
      <w:r>
        <w:separator/>
      </w:r>
    </w:p>
  </w:footnote>
  <w:footnote w:type="continuationSeparator" w:id="0">
    <w:p w:rsidR="002B3F5E" w:rsidRDefault="002B3F5E" w:rsidP="005C66AC">
      <w:r>
        <w:continuationSeparator/>
      </w:r>
    </w:p>
  </w:footnote>
  <w:footnote w:id="1">
    <w:p w:rsidR="00C12ABA" w:rsidRPr="007A3904" w:rsidRDefault="00C12ABA" w:rsidP="00BC7AD3">
      <w:pPr>
        <w:pStyle w:val="Textonotapie"/>
        <w:jc w:val="both"/>
        <w:rPr>
          <w:rFonts w:ascii="Century Gothic" w:hAnsi="Century Gothic"/>
          <w:sz w:val="16"/>
          <w:szCs w:val="16"/>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o Iniciativa de Ley de Ingresos, como es denominada en la Ley General de Contabilidad Gubernamental y la Ley de Disciplina Financiera de las Entidades Federativas y los Municipios.</w:t>
      </w:r>
    </w:p>
  </w:footnote>
  <w:footnote w:id="2">
    <w:p w:rsidR="00C12ABA" w:rsidRPr="0010622F" w:rsidRDefault="00C12ABA">
      <w:pPr>
        <w:pStyle w:val="Textonotapie"/>
        <w:rPr>
          <w:lang w:val="es-MX"/>
        </w:rPr>
      </w:pPr>
      <w:r>
        <w:rPr>
          <w:rStyle w:val="Refdenotaalpie"/>
        </w:rPr>
        <w:footnoteRef/>
      </w:r>
      <w:r>
        <w:t xml:space="preserve"> </w:t>
      </w:r>
      <w:r w:rsidRPr="007A3904">
        <w:rPr>
          <w:rFonts w:ascii="Century Gothic" w:hAnsi="Century Gothic"/>
          <w:sz w:val="16"/>
          <w:szCs w:val="16"/>
        </w:rPr>
        <w:t>Cuando a lo largo de este documento se haga referencia al “Proyecto de Presupuesto de Ingresos para el Ejercicio Fiscal 2022”, al “PPI 2022” a la” Iniciativa de Ley de Ingresos 2022” o al “PILI 2022”, se entenderá que se está haciendo referencia al mismo documento.</w:t>
      </w:r>
    </w:p>
  </w:footnote>
  <w:footnote w:id="3">
    <w:p w:rsidR="00C12ABA" w:rsidRPr="007A3904" w:rsidRDefault="00C12ABA" w:rsidP="00D85782">
      <w:pPr>
        <w:pStyle w:val="Textonotapie"/>
        <w:jc w:val="both"/>
        <w:rPr>
          <w:rFonts w:ascii="Century Gothic" w:hAnsi="Century Gothic"/>
          <w:sz w:val="16"/>
          <w:szCs w:val="16"/>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Cuando a lo largo de este documento se haga referencia a los “Criterios Generales de Política Económica para la Iniciativa de Ley de Ingresos y el Proyecto de Presupuesto de Egresos de la Federación correspondientes al Ejercicio Fiscal 2022” a los” Criterios de Política Económica 2022” o al “CGPE 2022”, se entenderá que se está haciendo referencia al mismo documento.</w:t>
      </w:r>
    </w:p>
  </w:footnote>
  <w:footnote w:id="4">
    <w:p w:rsidR="00C12ABA" w:rsidRPr="00830DA9" w:rsidRDefault="00C12ABA">
      <w:pPr>
        <w:pStyle w:val="Textonotapie"/>
        <w:rPr>
          <w:rFonts w:ascii="Century Gothic" w:hAnsi="Century Gothic"/>
          <w:sz w:val="16"/>
          <w:szCs w:val="16"/>
          <w:lang w:val="es-MX"/>
        </w:rPr>
      </w:pPr>
      <w:r w:rsidRPr="00830DA9">
        <w:rPr>
          <w:rStyle w:val="Refdenotaalpie"/>
          <w:rFonts w:ascii="Century Gothic" w:hAnsi="Century Gothic"/>
          <w:sz w:val="16"/>
          <w:szCs w:val="16"/>
        </w:rPr>
        <w:footnoteRef/>
      </w:r>
      <w:r w:rsidRPr="00830DA9">
        <w:rPr>
          <w:rFonts w:ascii="Century Gothic" w:hAnsi="Century Gothic"/>
          <w:sz w:val="16"/>
          <w:szCs w:val="16"/>
        </w:rPr>
        <w:t xml:space="preserve"> </w:t>
      </w:r>
      <w:r w:rsidRPr="00830DA9">
        <w:rPr>
          <w:rFonts w:ascii="Century Gothic" w:hAnsi="Century Gothic"/>
          <w:sz w:val="16"/>
          <w:szCs w:val="16"/>
          <w:lang w:val="es-MX"/>
        </w:rPr>
        <w:t xml:space="preserve">Proyección prevista para el cierre del año. </w:t>
      </w:r>
    </w:p>
  </w:footnote>
  <w:footnote w:id="5">
    <w:p w:rsidR="00C12ABA" w:rsidRPr="007A3904" w:rsidRDefault="00C12ABA" w:rsidP="0016640B">
      <w:pPr>
        <w:pStyle w:val="Textonotapie"/>
        <w:jc w:val="both"/>
        <w:rPr>
          <w:rFonts w:ascii="Century Gothic" w:hAnsi="Century Gothic"/>
          <w:sz w:val="16"/>
          <w:szCs w:val="16"/>
          <w:lang w:val="es-MX"/>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PMI (</w:t>
      </w:r>
      <w:r w:rsidRPr="00724E5D">
        <w:rPr>
          <w:rFonts w:ascii="Century Gothic" w:hAnsi="Century Gothic"/>
          <w:i/>
          <w:sz w:val="16"/>
          <w:szCs w:val="16"/>
        </w:rPr>
        <w:t>Purchasing Manager Índex)</w:t>
      </w:r>
      <w:r>
        <w:rPr>
          <w:rFonts w:ascii="Century Gothic" w:hAnsi="Century Gothic"/>
          <w:sz w:val="16"/>
          <w:szCs w:val="16"/>
        </w:rPr>
        <w:t xml:space="preserve"> por sus siglas en inglé</w:t>
      </w:r>
      <w:r w:rsidRPr="007A3904">
        <w:rPr>
          <w:rFonts w:ascii="Century Gothic" w:hAnsi="Century Gothic"/>
          <w:sz w:val="16"/>
          <w:szCs w:val="16"/>
        </w:rPr>
        <w:t xml:space="preserve">s es el </w:t>
      </w:r>
      <w:r>
        <w:rPr>
          <w:rFonts w:ascii="Century Gothic" w:hAnsi="Century Gothic"/>
          <w:sz w:val="16"/>
          <w:szCs w:val="16"/>
        </w:rPr>
        <w:t>Índice de Gestores de compras. E</w:t>
      </w:r>
      <w:r w:rsidRPr="007A3904">
        <w:rPr>
          <w:rFonts w:ascii="Century Gothic" w:hAnsi="Century Gothic"/>
          <w:sz w:val="16"/>
          <w:szCs w:val="16"/>
        </w:rPr>
        <w:t>s un indicador macroeconómico que pretende reflejar la situación económica de un país basándose en los datos recabados por una encuesta mensual de sus empresas más representativas que realizan los gestores de compras. Lo elabora la empresa Markit Economics desde abril de 2008. Véase Segovia Rueda, Maria. (2009). España PMI® (</w:t>
      </w:r>
      <w:r w:rsidRPr="00724E5D">
        <w:rPr>
          <w:rFonts w:ascii="Century Gothic" w:hAnsi="Century Gothic"/>
          <w:i/>
          <w:sz w:val="16"/>
          <w:szCs w:val="16"/>
        </w:rPr>
        <w:t>Purchasing Managers’ Index®</w:t>
      </w:r>
      <w:r w:rsidRPr="007A3904">
        <w:rPr>
          <w:rFonts w:ascii="Century Gothic" w:hAnsi="Century Gothic"/>
          <w:sz w:val="16"/>
          <w:szCs w:val="16"/>
        </w:rPr>
        <w:t>). Guía del comportamiento de la economía.</w:t>
      </w:r>
    </w:p>
  </w:footnote>
  <w:footnote w:id="6">
    <w:p w:rsidR="00C12ABA" w:rsidRPr="007A3904" w:rsidRDefault="00C12ABA" w:rsidP="0040665F">
      <w:pPr>
        <w:pStyle w:val="Textonotapie"/>
        <w:jc w:val="both"/>
        <w:rPr>
          <w:rFonts w:ascii="Century Gothic" w:eastAsia="Arial" w:hAnsi="Century Gothic" w:cs="Arial"/>
          <w:color w:val="000000"/>
          <w:sz w:val="16"/>
          <w:szCs w:val="16"/>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I INEGI (2017). Anuario estadístico y geográfico de Nuevo León 2017. </w:t>
      </w:r>
    </w:p>
  </w:footnote>
  <w:footnote w:id="7">
    <w:p w:rsidR="00C12ABA" w:rsidRPr="007A3904" w:rsidRDefault="00C12ABA" w:rsidP="0040665F">
      <w:pPr>
        <w:pStyle w:val="Textonotapie"/>
        <w:jc w:val="both"/>
        <w:rPr>
          <w:rStyle w:val="Refdenotaalpie"/>
          <w:rFonts w:ascii="Century Gothic" w:hAnsi="Century Gothic"/>
          <w:sz w:val="16"/>
          <w:szCs w:val="16"/>
        </w:rPr>
      </w:pPr>
      <w:r w:rsidRPr="007A3904">
        <w:rPr>
          <w:rStyle w:val="Refdenotaalpie"/>
          <w:rFonts w:ascii="Century Gothic" w:hAnsi="Century Gothic"/>
          <w:sz w:val="16"/>
          <w:szCs w:val="16"/>
        </w:rPr>
        <w:footnoteRef/>
      </w:r>
      <w:r w:rsidRPr="007A3904">
        <w:rPr>
          <w:rStyle w:val="Refdenotaalpie"/>
          <w:rFonts w:ascii="Century Gothic" w:hAnsi="Century Gothic"/>
          <w:sz w:val="16"/>
          <w:szCs w:val="16"/>
        </w:rPr>
        <w:t xml:space="preserve"> </w:t>
      </w:r>
      <w:r>
        <w:rPr>
          <w:rFonts w:ascii="Century Gothic" w:hAnsi="Century Gothic"/>
          <w:sz w:val="16"/>
          <w:szCs w:val="16"/>
        </w:rPr>
        <w:t xml:space="preserve">INEGI. (2020). </w:t>
      </w:r>
      <w:r w:rsidRPr="00AC363F">
        <w:rPr>
          <w:rFonts w:ascii="Century Gothic" w:hAnsi="Century Gothic"/>
          <w:sz w:val="16"/>
          <w:szCs w:val="16"/>
        </w:rPr>
        <w:t>Censo Nacional de Población y Vivienda 2020</w:t>
      </w:r>
      <w:r>
        <w:rPr>
          <w:rFonts w:ascii="Century Gothic" w:hAnsi="Century Gothic"/>
          <w:sz w:val="16"/>
          <w:szCs w:val="16"/>
        </w:rPr>
        <w:t xml:space="preserve">. Datos obtenidos del Banco de Indicadores. Véase Página web: </w:t>
      </w:r>
      <w:r w:rsidRPr="00AC363F">
        <w:rPr>
          <w:rFonts w:ascii="Century Gothic" w:hAnsi="Century Gothic"/>
          <w:sz w:val="16"/>
          <w:szCs w:val="16"/>
        </w:rPr>
        <w:t>https://www.inegi.org.mx/app/indicadores/default.aspx</w:t>
      </w:r>
    </w:p>
  </w:footnote>
  <w:footnote w:id="8">
    <w:p w:rsidR="00C12ABA" w:rsidRPr="007A3904" w:rsidRDefault="00C12ABA" w:rsidP="0040665F">
      <w:pPr>
        <w:pStyle w:val="Textonotapie"/>
        <w:rPr>
          <w:rFonts w:ascii="Century Gothic" w:hAnsi="Century Gothic"/>
          <w:sz w:val="16"/>
          <w:szCs w:val="16"/>
          <w:lang w:val="es-MX"/>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INEGI. Panorama sociodemográfico de Nuevo León 2015. México. 2016</w:t>
      </w:r>
    </w:p>
  </w:footnote>
  <w:footnote w:id="9">
    <w:p w:rsidR="00C12ABA" w:rsidRPr="007A3904" w:rsidRDefault="00C12ABA" w:rsidP="0040665F">
      <w:pPr>
        <w:pStyle w:val="Textonotapie"/>
        <w:jc w:val="both"/>
        <w:rPr>
          <w:rFonts w:ascii="Century Gothic" w:eastAsia="Arial" w:hAnsi="Century Gothic" w:cs="Arial"/>
          <w:color w:val="000000"/>
          <w:sz w:val="16"/>
          <w:szCs w:val="16"/>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INEGI (2017). Anuario estadístico y geográfico de Nuevo León 2017.</w:t>
      </w:r>
    </w:p>
  </w:footnote>
  <w:footnote w:id="10">
    <w:p w:rsidR="00C12ABA" w:rsidRPr="0040665F" w:rsidRDefault="00C12ABA" w:rsidP="007A3904">
      <w:pPr>
        <w:pStyle w:val="NormalWeb"/>
        <w:spacing w:before="0" w:beforeAutospacing="0" w:after="0" w:afterAutospacing="0"/>
        <w:jc w:val="both"/>
        <w:rPr>
          <w:rFonts w:ascii="Century Gothic" w:eastAsiaTheme="minorEastAsia" w:hAnsi="Century Gothic" w:cstheme="minorBidi"/>
          <w:sz w:val="16"/>
          <w:szCs w:val="16"/>
          <w:lang w:val="es-ES_tradnl" w:eastAsia="en-US"/>
        </w:rPr>
      </w:pPr>
      <w:r w:rsidRPr="007A3904">
        <w:rPr>
          <w:rStyle w:val="Refdenotaalpie"/>
          <w:rFonts w:ascii="Century Gothic" w:hAnsi="Century Gothic"/>
          <w:sz w:val="16"/>
          <w:szCs w:val="16"/>
        </w:rPr>
        <w:footnoteRef/>
      </w:r>
      <w:r w:rsidRPr="007A3904">
        <w:rPr>
          <w:rStyle w:val="Refdenotaalpie"/>
          <w:rFonts w:ascii="Century Gothic" w:hAnsi="Century Gothic"/>
          <w:sz w:val="16"/>
          <w:szCs w:val="16"/>
        </w:rPr>
        <w:t xml:space="preserve"> </w:t>
      </w:r>
      <w:r w:rsidRPr="007A3904">
        <w:rPr>
          <w:rFonts w:ascii="Century Gothic" w:hAnsi="Century Gothic"/>
          <w:sz w:val="16"/>
          <w:szCs w:val="16"/>
        </w:rPr>
        <w:t xml:space="preserve"> Este Ranking se elabora con base en: a) </w:t>
      </w:r>
      <w:r w:rsidRPr="007A3904">
        <w:rPr>
          <w:rFonts w:ascii="Century Gothic" w:eastAsiaTheme="minorEastAsia" w:hAnsi="Century Gothic" w:cstheme="minorBidi"/>
          <w:sz w:val="16"/>
          <w:szCs w:val="16"/>
          <w:lang w:val="es-ES_tradnl" w:eastAsia="en-US"/>
        </w:rPr>
        <w:t xml:space="preserve">Entorno social y político (estabilidad política y criminalidad) b) Entorno económico (regulación de los tipos de cambio y servicios bancarios, c) Entorno socio-cultural (medios de comunicación y censura), d) Consideraciones médicas y de salud (servicios médicos, enfermedades infecciosas y contaminación), e) Colegios y educación (calidad y disponibilidad de escuelas), f) Servicios públicos y transportes (electricidad, agua, transportes, tráfico), g) Ocio (restaurantes, teatros, cines y estadios), h) Bienes de consumo (disponibilidad de alimentos y artículos de uso diario, coches), i) Alojamiento (alquiler de casas, </w:t>
      </w:r>
      <w:r w:rsidRPr="0040665F">
        <w:rPr>
          <w:rFonts w:ascii="Century Gothic" w:eastAsiaTheme="minorEastAsia" w:hAnsi="Century Gothic" w:cstheme="minorBidi"/>
          <w:sz w:val="16"/>
          <w:szCs w:val="16"/>
          <w:lang w:val="es-ES_tradnl" w:eastAsia="en-US"/>
        </w:rPr>
        <w:t>electrodomésticos, muebles y servicios de mantenimiento) y j) Entorno natural (clima y registro de desastres naturales).</w:t>
      </w:r>
    </w:p>
  </w:footnote>
  <w:footnote w:id="11">
    <w:p w:rsidR="00C12ABA" w:rsidRPr="0040665F" w:rsidRDefault="00C12ABA" w:rsidP="007A3904">
      <w:pPr>
        <w:pStyle w:val="Textonotapie"/>
        <w:rPr>
          <w:rFonts w:ascii="Century Gothic" w:eastAsia="Arial" w:hAnsi="Century Gothic" w:cs="Arial"/>
          <w:color w:val="000000"/>
          <w:sz w:val="16"/>
          <w:szCs w:val="16"/>
        </w:rPr>
      </w:pPr>
      <w:r w:rsidRPr="0040665F">
        <w:rPr>
          <w:rStyle w:val="Refdenotaalpie"/>
          <w:rFonts w:ascii="Century Gothic" w:hAnsi="Century Gothic"/>
          <w:sz w:val="16"/>
          <w:szCs w:val="16"/>
        </w:rPr>
        <w:footnoteRef/>
      </w:r>
      <w:r w:rsidRPr="0040665F">
        <w:rPr>
          <w:rFonts w:ascii="Century Gothic" w:hAnsi="Century Gothic"/>
          <w:sz w:val="16"/>
          <w:szCs w:val="16"/>
        </w:rPr>
        <w:t xml:space="preserve"> Ibidem.</w:t>
      </w:r>
    </w:p>
  </w:footnote>
  <w:footnote w:id="12">
    <w:p w:rsidR="00C12ABA" w:rsidRPr="00695AA4" w:rsidRDefault="00C12ABA" w:rsidP="0040665F">
      <w:pPr>
        <w:pStyle w:val="Textonotapie"/>
        <w:rPr>
          <w:lang w:val="es-MX"/>
        </w:rPr>
      </w:pPr>
      <w:r w:rsidRPr="0040665F">
        <w:rPr>
          <w:rStyle w:val="Refdenotaalpie"/>
          <w:sz w:val="16"/>
          <w:szCs w:val="16"/>
        </w:rPr>
        <w:footnoteRef/>
      </w:r>
      <w:r w:rsidRPr="0040665F">
        <w:rPr>
          <w:sz w:val="16"/>
          <w:szCs w:val="16"/>
        </w:rPr>
        <w:t xml:space="preserve"> </w:t>
      </w:r>
      <w:r w:rsidRPr="0040665F">
        <w:rPr>
          <w:rFonts w:ascii="Century Gothic" w:hAnsi="Century Gothic"/>
          <w:sz w:val="16"/>
          <w:szCs w:val="16"/>
        </w:rPr>
        <w:t>porcentaje de población de 12 años y más económicamente activa.  INEGI. (2020). Censo Nacional de Población y Vivienda 2020. Datos obtenidos del Banco de Indicadores. Véase Página web: https://www.inegi.org.mx/app/indicadores/default.aspx</w:t>
      </w:r>
    </w:p>
  </w:footnote>
  <w:footnote w:id="13">
    <w:p w:rsidR="00C12ABA" w:rsidRPr="007A3904" w:rsidRDefault="00C12ABA" w:rsidP="00AF590B">
      <w:pPr>
        <w:pStyle w:val="Textonotapie"/>
        <w:rPr>
          <w:rFonts w:ascii="Century Gothic" w:eastAsia="Arial" w:hAnsi="Century Gothic" w:cs="Arial"/>
          <w:color w:val="000000"/>
          <w:sz w:val="16"/>
          <w:szCs w:val="16"/>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El 1.73% no especificó el sector. Véase INEGI (2017). Anuario estadístico y geográfico de Nuevo León 2017.</w:t>
      </w:r>
    </w:p>
  </w:footnote>
  <w:footnote w:id="14">
    <w:p w:rsidR="00C12ABA" w:rsidRPr="007A3904" w:rsidRDefault="00C12ABA">
      <w:pPr>
        <w:pStyle w:val="Textonotapie"/>
        <w:rPr>
          <w:rFonts w:ascii="Century Gothic" w:hAnsi="Century Gothic"/>
          <w:sz w:val="16"/>
          <w:szCs w:val="16"/>
          <w:lang w:val="es-MX"/>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Datos de comercio exterior han sido anonimizados.</w:t>
      </w:r>
    </w:p>
  </w:footnote>
  <w:footnote w:id="15">
    <w:p w:rsidR="00C12ABA" w:rsidRPr="007A3904" w:rsidRDefault="00C12ABA">
      <w:pPr>
        <w:pStyle w:val="Textonotapie"/>
        <w:rPr>
          <w:rFonts w:ascii="Century Gothic" w:hAnsi="Century Gothic"/>
          <w:sz w:val="16"/>
          <w:szCs w:val="16"/>
          <w:lang w:val="es-MX"/>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w:t>
      </w:r>
      <w:r w:rsidRPr="007A3904">
        <w:rPr>
          <w:rFonts w:ascii="Century Gothic" w:hAnsi="Century Gothic"/>
          <w:sz w:val="16"/>
          <w:szCs w:val="16"/>
          <w:lang w:val="es-MX"/>
        </w:rPr>
        <w:t>Secretaría de Económica. (2021). Data México.</w:t>
      </w:r>
      <w:r w:rsidRPr="007A3904">
        <w:rPr>
          <w:rFonts w:ascii="Century Gothic" w:hAnsi="Century Gothic"/>
          <w:sz w:val="16"/>
          <w:szCs w:val="16"/>
        </w:rPr>
        <w:t xml:space="preserve"> </w:t>
      </w:r>
      <w:r w:rsidRPr="007A3904">
        <w:rPr>
          <w:rFonts w:ascii="Century Gothic" w:hAnsi="Century Gothic"/>
          <w:sz w:val="16"/>
          <w:szCs w:val="16"/>
          <w:lang w:val="es-MX"/>
        </w:rPr>
        <w:t>Datos de comercio exterior han sido anonimizados. Véase Página Web https://datamexico.org/es/profile/geo/monterrey</w:t>
      </w:r>
    </w:p>
  </w:footnote>
  <w:footnote w:id="16">
    <w:p w:rsidR="00C12ABA" w:rsidRPr="007A3904" w:rsidRDefault="00C12ABA">
      <w:pPr>
        <w:pStyle w:val="Textonotapie"/>
        <w:rPr>
          <w:rFonts w:ascii="Century Gothic" w:hAnsi="Century Gothic"/>
          <w:sz w:val="16"/>
          <w:szCs w:val="16"/>
          <w:lang w:val="es-MX"/>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w:t>
      </w:r>
      <w:r w:rsidRPr="007A3904">
        <w:rPr>
          <w:rFonts w:ascii="Century Gothic" w:hAnsi="Century Gothic"/>
          <w:sz w:val="16"/>
          <w:szCs w:val="16"/>
          <w:lang w:val="es-MX"/>
        </w:rPr>
        <w:t xml:space="preserve">Ibidem. </w:t>
      </w:r>
    </w:p>
  </w:footnote>
  <w:footnote w:id="17">
    <w:p w:rsidR="00C12ABA" w:rsidRPr="007A3904" w:rsidRDefault="00C12ABA">
      <w:pPr>
        <w:pStyle w:val="Textonotapie"/>
        <w:rPr>
          <w:rFonts w:ascii="Century Gothic" w:hAnsi="Century Gothic"/>
          <w:sz w:val="16"/>
          <w:szCs w:val="16"/>
          <w:lang w:val="es-MX"/>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w:t>
      </w:r>
      <w:r w:rsidRPr="007A3904">
        <w:rPr>
          <w:rFonts w:ascii="Century Gothic" w:hAnsi="Century Gothic"/>
          <w:sz w:val="16"/>
          <w:szCs w:val="16"/>
          <w:lang w:val="es-MX"/>
        </w:rPr>
        <w:t xml:space="preserve">Ibidem. </w:t>
      </w:r>
    </w:p>
  </w:footnote>
  <w:footnote w:id="18">
    <w:p w:rsidR="00C12ABA" w:rsidRPr="007A3904" w:rsidRDefault="00C12ABA" w:rsidP="00AF590B">
      <w:pPr>
        <w:pStyle w:val="Textonotapie"/>
        <w:rPr>
          <w:rFonts w:ascii="Century Gothic" w:eastAsia="Arial" w:hAnsi="Century Gothic" w:cs="Arial"/>
          <w:color w:val="000000"/>
          <w:sz w:val="16"/>
          <w:szCs w:val="16"/>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Op Cit. INEGI (2017). Anuario estadístico y geográfico de Nuevo León 2017.</w:t>
      </w:r>
    </w:p>
  </w:footnote>
  <w:footnote w:id="19">
    <w:p w:rsidR="00C12ABA" w:rsidRPr="007A3904" w:rsidRDefault="00C12ABA" w:rsidP="007A3904">
      <w:pPr>
        <w:pStyle w:val="Textonotapie"/>
        <w:jc w:val="both"/>
        <w:rPr>
          <w:rFonts w:ascii="Century Gothic" w:hAnsi="Century Gothic"/>
          <w:sz w:val="16"/>
          <w:szCs w:val="16"/>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Se recomienda considerar los valores como aproximaciones del valor real debido a que algunos registros han sido anonimizados por principios de confidencialidad. INEGI. (2019). Censos Económicos 2019. Véase página web: https://www.inegi.org.mx/programas/ce/2019/#Tabulados</w:t>
      </w:r>
    </w:p>
  </w:footnote>
  <w:footnote w:id="20">
    <w:p w:rsidR="00C12ABA" w:rsidRPr="007A3904" w:rsidRDefault="00C12ABA" w:rsidP="007A3904">
      <w:pPr>
        <w:pStyle w:val="Textonotapie"/>
        <w:jc w:val="both"/>
        <w:rPr>
          <w:rFonts w:ascii="Century Gothic" w:hAnsi="Century Gothic"/>
          <w:sz w:val="16"/>
          <w:szCs w:val="16"/>
          <w:lang w:val="es-MX"/>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Se constituye por los indicadores socioeconómicos: porcentaje de población de 15 años o más analfabeta, sin primaria completa, de ocupantes en viviendas sin drenaje ni excusado, sin energía eléctrica, sin agua entubada, con algún nivel de hacinamiento, con piso de tierra, de población en localidades con menos de 5000 habitantes y con porcentaje de población ocupada con ingresos de hasta 2 salarios mínimos. Según datos del CONAPO. Índice de marginación por entidad federativa y municipio 2015. México. 2016</w:t>
      </w:r>
    </w:p>
  </w:footnote>
  <w:footnote w:id="21">
    <w:p w:rsidR="00C12ABA" w:rsidRPr="007A3904" w:rsidRDefault="00C12ABA" w:rsidP="007A3904">
      <w:pPr>
        <w:pStyle w:val="Textonotapie"/>
        <w:jc w:val="both"/>
        <w:rPr>
          <w:rFonts w:ascii="Century Gothic" w:hAnsi="Century Gothic"/>
          <w:sz w:val="16"/>
          <w:szCs w:val="16"/>
          <w:lang w:val="es-MX"/>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INEGI. (2020). Censo de Población y Vivienda 2020 (Cuestionario Ampliado*) * Los datos visualizados fueron obtenidos del cuestionario ampliado cuyos datos tienen un intervalo de confianza del 90% y un error del 0.2. en </w:t>
      </w:r>
      <w:hyperlink r:id="rId1" w:anchor="Microdatos" w:history="1">
        <w:r w:rsidRPr="007A3904">
          <w:rPr>
            <w:rStyle w:val="Hipervnculo"/>
            <w:rFonts w:ascii="Century Gothic" w:hAnsi="Century Gothic"/>
            <w:sz w:val="16"/>
            <w:szCs w:val="16"/>
          </w:rPr>
          <w:t>https://www.inegi.org.mx/programas/ccpv/2020/#Microdatos</w:t>
        </w:r>
      </w:hyperlink>
      <w:r w:rsidRPr="007A3904">
        <w:rPr>
          <w:rFonts w:ascii="Century Gothic" w:hAnsi="Century Gothic"/>
          <w:sz w:val="16"/>
          <w:szCs w:val="16"/>
        </w:rPr>
        <w:t>. **Los valores pueden diferir de los publicados en el cuestionario básico ya que este hace referencia a la población total mientras que los resultados del cuestionario ampliado a la población en viviendas particulares habitadas. Es decir, el cuestionario básico, además, de contar a las personas en viviendas particulares, también cuenta a las personas residentes en viviendas colectivas, así como a las personas del servicio exterior mexicano y a las personas sin vivienda. ***Para el caso de las zonas metropolitanas se utilizó la "Delimitación de las zonas metropolitanas de México 2015" que puede ser revisada en www.inegi.org.mx/app/biblioteca/ficha.html?upc=702825006792</w:t>
      </w:r>
    </w:p>
  </w:footnote>
  <w:footnote w:id="22">
    <w:p w:rsidR="00C12ABA" w:rsidRPr="008168E6" w:rsidRDefault="00C12ABA">
      <w:pPr>
        <w:pStyle w:val="Textonotapie"/>
        <w:rPr>
          <w:lang w:val="es-MX"/>
        </w:rPr>
      </w:pPr>
      <w:r w:rsidRPr="008168E6">
        <w:rPr>
          <w:rStyle w:val="Refdenotaalpie"/>
          <w:sz w:val="16"/>
          <w:szCs w:val="16"/>
        </w:rPr>
        <w:footnoteRef/>
      </w:r>
      <w:r w:rsidRPr="008168E6">
        <w:rPr>
          <w:sz w:val="16"/>
          <w:szCs w:val="16"/>
        </w:rPr>
        <w:t xml:space="preserve"> </w:t>
      </w:r>
      <w:r w:rsidRPr="008168E6">
        <w:rPr>
          <w:rFonts w:ascii="Century Gothic" w:hAnsi="Century Gothic"/>
          <w:sz w:val="16"/>
          <w:szCs w:val="16"/>
          <w:lang w:val="es-MX"/>
        </w:rPr>
        <w:t>Secretaría de Económica. (2021). Data México.</w:t>
      </w:r>
      <w:r w:rsidRPr="008168E6">
        <w:rPr>
          <w:rFonts w:ascii="Century Gothic" w:hAnsi="Century Gothic"/>
          <w:sz w:val="16"/>
          <w:szCs w:val="16"/>
        </w:rPr>
        <w:t xml:space="preserve"> </w:t>
      </w:r>
      <w:r w:rsidRPr="008168E6">
        <w:rPr>
          <w:rFonts w:ascii="Century Gothic" w:hAnsi="Century Gothic"/>
          <w:sz w:val="16"/>
          <w:szCs w:val="16"/>
          <w:lang w:val="es-MX"/>
        </w:rPr>
        <w:t>Datos de comercio exterior han sido anonimizados. Véase Página Web</w:t>
      </w:r>
      <w:r w:rsidRPr="007A3904">
        <w:rPr>
          <w:rFonts w:ascii="Century Gothic" w:hAnsi="Century Gothic"/>
          <w:sz w:val="16"/>
          <w:szCs w:val="16"/>
          <w:lang w:val="es-MX"/>
        </w:rPr>
        <w:t xml:space="preserve"> https://datamexico.org/es/profile/geo/monterrey</w:t>
      </w:r>
    </w:p>
  </w:footnote>
  <w:footnote w:id="23">
    <w:p w:rsidR="00C12ABA" w:rsidRPr="007A3904" w:rsidRDefault="00C12ABA">
      <w:pPr>
        <w:pStyle w:val="Textonotapie"/>
        <w:rPr>
          <w:rFonts w:ascii="Century Gothic" w:hAnsi="Century Gothic"/>
          <w:sz w:val="16"/>
          <w:szCs w:val="16"/>
          <w:lang w:val="es-MX"/>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INEGI. Encuesta Intercensal 2015. Tabulados Nuevo León. Migración. México. 2016</w:t>
      </w:r>
    </w:p>
  </w:footnote>
  <w:footnote w:id="24">
    <w:p w:rsidR="00C12ABA" w:rsidRPr="007A3904" w:rsidRDefault="00C12ABA">
      <w:pPr>
        <w:pStyle w:val="Textonotapie"/>
        <w:rPr>
          <w:rFonts w:ascii="Century Gothic" w:hAnsi="Century Gothic"/>
          <w:sz w:val="16"/>
          <w:szCs w:val="16"/>
          <w:lang w:val="es-MX"/>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Óp. Cit. INEGI. (2020). Censo de Población y Vivienda 2020 (Cuestionario Ampliado*)</w:t>
      </w:r>
    </w:p>
  </w:footnote>
  <w:footnote w:id="25">
    <w:p w:rsidR="00C12ABA" w:rsidRPr="007A3904" w:rsidRDefault="00C12ABA">
      <w:pPr>
        <w:pStyle w:val="Textonotapie"/>
        <w:rPr>
          <w:rFonts w:ascii="Century Gothic" w:hAnsi="Century Gothic"/>
          <w:sz w:val="16"/>
          <w:szCs w:val="16"/>
          <w:lang w:val="es-MX"/>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w:t>
      </w:r>
      <w:r w:rsidRPr="007A3904">
        <w:rPr>
          <w:rFonts w:ascii="Century Gothic" w:hAnsi="Century Gothic"/>
          <w:sz w:val="16"/>
          <w:szCs w:val="16"/>
          <w:lang w:val="es-MX"/>
        </w:rPr>
        <w:t>Ibídem.</w:t>
      </w:r>
    </w:p>
  </w:footnote>
  <w:footnote w:id="26">
    <w:p w:rsidR="00C12ABA" w:rsidRPr="007A3904" w:rsidRDefault="00C12ABA">
      <w:pPr>
        <w:pStyle w:val="Textonotapie"/>
        <w:rPr>
          <w:rFonts w:ascii="Century Gothic" w:hAnsi="Century Gothic"/>
          <w:sz w:val="16"/>
          <w:szCs w:val="16"/>
          <w:lang w:val="es-MX"/>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w:t>
      </w:r>
      <w:r w:rsidRPr="007A3904">
        <w:rPr>
          <w:rFonts w:ascii="Century Gothic" w:hAnsi="Century Gothic"/>
          <w:sz w:val="16"/>
          <w:szCs w:val="16"/>
          <w:lang w:val="es-MX"/>
        </w:rPr>
        <w:t>SESNSP. (2021). Cifras de Incidencia Delictiva Municipal, 2015 - septiembre 2021.</w:t>
      </w:r>
    </w:p>
  </w:footnote>
  <w:footnote w:id="27">
    <w:p w:rsidR="00C12ABA" w:rsidRPr="007A3904" w:rsidRDefault="00C12ABA" w:rsidP="00061FED">
      <w:pPr>
        <w:pStyle w:val="Textonotapie"/>
        <w:jc w:val="both"/>
        <w:rPr>
          <w:rFonts w:ascii="Century Gothic" w:hAnsi="Century Gothic" w:cstheme="minorHAnsi"/>
          <w:sz w:val="16"/>
          <w:szCs w:val="16"/>
        </w:rPr>
      </w:pPr>
      <w:r w:rsidRPr="007A3904">
        <w:rPr>
          <w:rStyle w:val="Refdenotaalpie"/>
          <w:rFonts w:ascii="Century Gothic" w:hAnsi="Century Gothic" w:cstheme="minorHAnsi"/>
          <w:sz w:val="16"/>
          <w:szCs w:val="16"/>
        </w:rPr>
        <w:footnoteRef/>
      </w:r>
      <w:r w:rsidRPr="007A3904">
        <w:rPr>
          <w:rFonts w:ascii="Century Gothic" w:hAnsi="Century Gothic" w:cstheme="minorHAnsi"/>
          <w:sz w:val="16"/>
          <w:szCs w:val="16"/>
        </w:rPr>
        <w:t xml:space="preserve"> De acuerdo con el Formato 7 </w:t>
      </w:r>
      <w:r>
        <w:rPr>
          <w:rFonts w:ascii="Century Gothic" w:hAnsi="Century Gothic" w:cstheme="minorHAnsi"/>
          <w:sz w:val="16"/>
          <w:szCs w:val="16"/>
        </w:rPr>
        <w:t>c</w:t>
      </w:r>
      <w:r w:rsidRPr="007A3904">
        <w:rPr>
          <w:rFonts w:ascii="Century Gothic" w:hAnsi="Century Gothic" w:cstheme="minorHAnsi"/>
          <w:sz w:val="16"/>
          <w:szCs w:val="16"/>
        </w:rPr>
        <w:t>) de los Criterios para la elaboración y presentación homogénea de la información financiera y de los formatos a que hace referencia la Ley de Disciplina Financiera de las Entidades Federativas y los Municipios, emitido por el CONAC. Última reforma publicada en el Diario Oficial de la Federación el 27 de septiembre de 2019, disponible en: https://www.conac.gob.mx/work/models/CONAC/normatividad/CLDF_01_01_001.pdf</w:t>
      </w:r>
    </w:p>
  </w:footnote>
  <w:footnote w:id="28">
    <w:p w:rsidR="00C12ABA" w:rsidRPr="00F470D9" w:rsidRDefault="00C12ABA">
      <w:pPr>
        <w:pStyle w:val="Textonotapie"/>
        <w:rPr>
          <w:lang w:val="es-MX"/>
        </w:rPr>
      </w:pPr>
      <w:r>
        <w:rPr>
          <w:rStyle w:val="Refdenotaalpie"/>
        </w:rPr>
        <w:footnoteRef/>
      </w:r>
      <w:r>
        <w:t xml:space="preserve"> </w:t>
      </w:r>
      <w:r w:rsidRPr="007A3904">
        <w:rPr>
          <w:rFonts w:ascii="Century Gothic" w:hAnsi="Century Gothic" w:cstheme="minorHAnsi"/>
          <w:sz w:val="16"/>
          <w:szCs w:val="16"/>
        </w:rPr>
        <w:t xml:space="preserve">De acuerdo con el Formato 7 </w:t>
      </w:r>
      <w:r>
        <w:rPr>
          <w:rFonts w:ascii="Century Gothic" w:hAnsi="Century Gothic" w:cstheme="minorHAnsi"/>
          <w:sz w:val="16"/>
          <w:szCs w:val="16"/>
        </w:rPr>
        <w:t>a</w:t>
      </w:r>
      <w:r w:rsidRPr="007A3904">
        <w:rPr>
          <w:rFonts w:ascii="Century Gothic" w:hAnsi="Century Gothic" w:cstheme="minorHAnsi"/>
          <w:sz w:val="16"/>
          <w:szCs w:val="16"/>
        </w:rPr>
        <w:t>) de los Criterios para la elaboración y presentación homogénea de la información financiera y de los formatos a que hace referencia la Ley de Disciplina Financiera de las Entidades Federativas y los Municipios, emitido por el CONAC. Última reforma publicada en el Diario Oficial de la Federación el 27 de septiembre de 2019, disponible en: https://www.conac.gob.mx/work/models/CONAC/normatividad/CLDF_01_01_001.pdf</w:t>
      </w:r>
    </w:p>
  </w:footnote>
  <w:footnote w:id="29">
    <w:p w:rsidR="00C12ABA" w:rsidRPr="007A3904" w:rsidRDefault="00C12ABA">
      <w:pPr>
        <w:pStyle w:val="Textonotapie"/>
        <w:rPr>
          <w:rFonts w:ascii="Century Gothic" w:hAnsi="Century Gothic"/>
          <w:sz w:val="16"/>
          <w:szCs w:val="16"/>
          <w:lang w:val="es-MX"/>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w:t>
      </w:r>
      <w:r w:rsidRPr="007A3904">
        <w:rPr>
          <w:rFonts w:ascii="Century Gothic" w:hAnsi="Century Gothic"/>
          <w:sz w:val="16"/>
          <w:szCs w:val="16"/>
          <w:lang w:val="es-MX"/>
        </w:rPr>
        <w:t>Valor de la UMA diario, emitido por el INEGI, en su página web especializada en UMA: https://www.inegi.org.mx/temas/uma/</w:t>
      </w:r>
    </w:p>
  </w:footnote>
  <w:footnote w:id="30">
    <w:p w:rsidR="00C12ABA" w:rsidRPr="007A3904" w:rsidRDefault="00C12ABA" w:rsidP="003B7FEB">
      <w:pPr>
        <w:pStyle w:val="Textonotapie"/>
        <w:rPr>
          <w:rFonts w:ascii="Century Gothic" w:hAnsi="Century Gothic"/>
          <w:sz w:val="16"/>
          <w:szCs w:val="16"/>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Paquete fiscal 2021.</w:t>
      </w:r>
    </w:p>
  </w:footnote>
  <w:footnote w:id="31">
    <w:p w:rsidR="00C12ABA" w:rsidRPr="007A3904" w:rsidRDefault="00C12ABA" w:rsidP="003B7FEB">
      <w:pPr>
        <w:pStyle w:val="Textonotapie"/>
        <w:rPr>
          <w:rFonts w:ascii="Century Gothic" w:hAnsi="Century Gothic"/>
          <w:sz w:val="16"/>
          <w:szCs w:val="16"/>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w:t>
      </w:r>
      <w:r w:rsidRPr="007A3904">
        <w:rPr>
          <w:rFonts w:ascii="Century Gothic" w:hAnsi="Century Gothic"/>
          <w:i/>
          <w:sz w:val="16"/>
          <w:szCs w:val="16"/>
        </w:rPr>
        <w:t>“…para 2017, se plantea utilizar un precio de 42 dpb para las estimaciones de finanzas públicas.”</w:t>
      </w:r>
      <w:r w:rsidRPr="007A3904">
        <w:rPr>
          <w:rFonts w:ascii="Century Gothic" w:hAnsi="Century Gothic"/>
          <w:sz w:val="16"/>
          <w:szCs w:val="16"/>
        </w:rPr>
        <w:t xml:space="preserve"> Criterios Generales de Política Económica 2017. P. 55.</w:t>
      </w:r>
    </w:p>
  </w:footnote>
  <w:footnote w:id="32">
    <w:p w:rsidR="00C12ABA" w:rsidRPr="007A3904" w:rsidRDefault="00C12ABA" w:rsidP="003B7FEB">
      <w:pPr>
        <w:pStyle w:val="Textonotapie"/>
        <w:rPr>
          <w:rFonts w:ascii="Century Gothic" w:hAnsi="Century Gothic"/>
          <w:sz w:val="16"/>
          <w:szCs w:val="16"/>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w:t>
      </w:r>
      <w:r w:rsidRPr="007A3904">
        <w:rPr>
          <w:rFonts w:ascii="Century Gothic" w:hAnsi="Century Gothic"/>
          <w:i/>
          <w:sz w:val="16"/>
          <w:szCs w:val="16"/>
        </w:rPr>
        <w:t>En consecuencia, se plantea utilizar un precio de 46 dpb, cifra que además de cumplir con el criterio mencionado considera la evolución reciente del mercado petrolero y las cotizaciones en los mercados de futuros, además de permitir estimaciones prudentes y responsables de finanzas públicas.</w:t>
      </w:r>
      <w:r w:rsidRPr="007A3904">
        <w:rPr>
          <w:rFonts w:ascii="Century Gothic" w:hAnsi="Century Gothic"/>
          <w:sz w:val="16"/>
          <w:szCs w:val="16"/>
        </w:rPr>
        <w:t xml:space="preserve"> Criterios Generales de Política Económica 2018. P.56.</w:t>
      </w:r>
    </w:p>
  </w:footnote>
  <w:footnote w:id="33">
    <w:p w:rsidR="00C12ABA" w:rsidRPr="007A3904" w:rsidRDefault="00C12ABA" w:rsidP="003B7FEB">
      <w:pPr>
        <w:pStyle w:val="Textonotapie"/>
        <w:rPr>
          <w:rFonts w:ascii="Century Gothic" w:hAnsi="Century Gothic"/>
          <w:sz w:val="16"/>
          <w:szCs w:val="16"/>
          <w:lang w:val="es-MX"/>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Proyección prevista en los Pre-Criterios Generales de Política Económica 2019, tomando en cuenta el promedio ponderado de la mezcla de petróleo para el 2019, mantiene un precio de referencia para la mezcla mexicana de 51.6 dpb, y se espera que haya un incremento en la plataforma de producción de petróleo en 2,035 MBD (millones de barriles diarios) consistente con el Plan de Negocios de PEMEX, con lo cual se espera generar un impacto positivo en las finanzas públicas.</w:t>
      </w:r>
    </w:p>
  </w:footnote>
  <w:footnote w:id="34">
    <w:p w:rsidR="00C12ABA" w:rsidRPr="007A3904" w:rsidRDefault="00C12ABA" w:rsidP="003B7FEB">
      <w:pPr>
        <w:pStyle w:val="Textonotapie"/>
        <w:rPr>
          <w:rFonts w:ascii="Century Gothic" w:hAnsi="Century Gothic"/>
          <w:sz w:val="16"/>
          <w:szCs w:val="16"/>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Verificar tabla C1. “Principales variables del Marco Macroeconómico” en SHCP- 2019. Criterios Generales de Política Económica 2020. Pp. 184-185.</w:t>
      </w:r>
    </w:p>
  </w:footnote>
  <w:footnote w:id="35">
    <w:p w:rsidR="00C12ABA" w:rsidRPr="007A3904" w:rsidRDefault="00C12ABA" w:rsidP="003B7FEB">
      <w:pPr>
        <w:pStyle w:val="Textonotapie"/>
        <w:rPr>
          <w:rFonts w:ascii="Century Gothic" w:hAnsi="Century Gothic"/>
          <w:sz w:val="16"/>
          <w:szCs w:val="16"/>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w:t>
      </w:r>
      <w:r w:rsidRPr="007A3904">
        <w:rPr>
          <w:rFonts w:ascii="Century Gothic" w:hAnsi="Century Gothic"/>
          <w:i/>
          <w:sz w:val="16"/>
          <w:szCs w:val="16"/>
        </w:rPr>
        <w:t>Para efectos de las estimaciones de finanzas públicas, se plantea utilizar un crecimiento puntual del PIB para 2017 de 2.5%.”</w:t>
      </w:r>
      <w:r w:rsidRPr="007A3904">
        <w:rPr>
          <w:rFonts w:ascii="Century Gothic" w:hAnsi="Century Gothic"/>
          <w:sz w:val="16"/>
          <w:szCs w:val="16"/>
        </w:rPr>
        <w:t xml:space="preserve"> Criterios Generales de Política Económica 2017. P.49.</w:t>
      </w:r>
    </w:p>
  </w:footnote>
  <w:footnote w:id="36">
    <w:p w:rsidR="00C12ABA" w:rsidRPr="007A3904" w:rsidRDefault="00C12ABA" w:rsidP="003B7FEB">
      <w:pPr>
        <w:pStyle w:val="Textonotapie"/>
        <w:rPr>
          <w:rFonts w:ascii="Century Gothic" w:hAnsi="Century Gothic"/>
          <w:sz w:val="16"/>
          <w:szCs w:val="16"/>
        </w:rPr>
      </w:pPr>
      <w:r w:rsidRPr="007A3904">
        <w:rPr>
          <w:rStyle w:val="Refdenotaalpie"/>
          <w:rFonts w:ascii="Century Gothic" w:hAnsi="Century Gothic"/>
          <w:sz w:val="16"/>
          <w:szCs w:val="16"/>
        </w:rPr>
        <w:footnoteRef/>
      </w:r>
      <w:r w:rsidRPr="007A3904">
        <w:rPr>
          <w:rFonts w:ascii="Century Gothic" w:hAnsi="Century Gothic"/>
          <w:i/>
          <w:sz w:val="16"/>
          <w:szCs w:val="16"/>
        </w:rPr>
        <w:t>Durante 2018 el valor real del PIB de México registre un crecimiento anual de entre 2.0% y 3.0%. Para efectos de las estimaciones de finanzas públicas, se plantea utilizar un crecimiento puntual del PIB para 2018 de 2.0%.</w:t>
      </w:r>
      <w:r w:rsidRPr="007A3904">
        <w:rPr>
          <w:rFonts w:ascii="Century Gothic" w:hAnsi="Century Gothic"/>
          <w:sz w:val="16"/>
          <w:szCs w:val="16"/>
        </w:rPr>
        <w:t xml:space="preserve"> Criterios Generales de Política Económica 2018. P.55.</w:t>
      </w:r>
    </w:p>
  </w:footnote>
  <w:footnote w:id="37">
    <w:p w:rsidR="00C12ABA" w:rsidRPr="007A3904" w:rsidRDefault="00C12ABA" w:rsidP="003B7FEB">
      <w:pPr>
        <w:pStyle w:val="Textonotapie"/>
        <w:rPr>
          <w:rFonts w:ascii="Century Gothic" w:hAnsi="Century Gothic"/>
          <w:sz w:val="16"/>
          <w:szCs w:val="16"/>
          <w:lang w:val="es-MX"/>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w:t>
      </w:r>
      <w:r w:rsidRPr="007A3904">
        <w:rPr>
          <w:rFonts w:ascii="Century Gothic" w:hAnsi="Century Gothic"/>
          <w:i/>
          <w:sz w:val="16"/>
          <w:szCs w:val="16"/>
        </w:rPr>
        <w:t>Los rangos de 2%-3% y 2.5% y 3-5% para 2018 y 2019 respectivamente, señalados en los Pre-Criterios Generales de Política Económica 2019, son consistentes con los presentados en los Criterios de Política Económica para el ejercicio fiscal 2018, se recomienda para estimaciones de finanzas públicas utilizar un crecimiento puntual del PIB para 2018 de 2.5% y para 2019 de 3%. Adecuación en op cit. Ver nota 27.</w:t>
      </w:r>
    </w:p>
  </w:footnote>
  <w:footnote w:id="38">
    <w:p w:rsidR="00C12ABA" w:rsidRPr="007A3904" w:rsidRDefault="00C12ABA" w:rsidP="003B7FEB">
      <w:pPr>
        <w:pStyle w:val="Textonotapie"/>
        <w:rPr>
          <w:rFonts w:ascii="Century Gothic" w:hAnsi="Century Gothic"/>
          <w:sz w:val="16"/>
          <w:szCs w:val="16"/>
          <w:lang w:val="es-MX"/>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w:t>
      </w:r>
      <w:r w:rsidRPr="007A3904">
        <w:rPr>
          <w:rFonts w:ascii="Century Gothic" w:hAnsi="Century Gothic"/>
          <w:i/>
          <w:sz w:val="16"/>
          <w:szCs w:val="16"/>
        </w:rPr>
        <w:t>op cit. Ver nota 9.</w:t>
      </w:r>
    </w:p>
  </w:footnote>
  <w:footnote w:id="39">
    <w:p w:rsidR="00C12ABA" w:rsidRPr="007A3904" w:rsidRDefault="00C12ABA" w:rsidP="003B7FEB">
      <w:pPr>
        <w:pStyle w:val="Textonotapie"/>
        <w:rPr>
          <w:rFonts w:ascii="Century Gothic" w:hAnsi="Century Gothic"/>
          <w:sz w:val="16"/>
          <w:szCs w:val="16"/>
          <w:lang w:val="es-MX"/>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Adecuación considerando: BANXICO, de Los especialistas en economía del sector privado: julio 2018 y “Encuesta sobre las expectativas…” op.</w:t>
      </w:r>
      <w:r>
        <w:rPr>
          <w:rFonts w:ascii="Century Gothic" w:hAnsi="Century Gothic"/>
          <w:sz w:val="16"/>
          <w:szCs w:val="16"/>
        </w:rPr>
        <w:t xml:space="preserve"> </w:t>
      </w:r>
      <w:r w:rsidRPr="007A3904">
        <w:rPr>
          <w:rFonts w:ascii="Century Gothic" w:hAnsi="Century Gothic"/>
          <w:sz w:val="16"/>
          <w:szCs w:val="16"/>
        </w:rPr>
        <w:t>cit.</w:t>
      </w:r>
    </w:p>
  </w:footnote>
  <w:footnote w:id="40">
    <w:p w:rsidR="00C12ABA" w:rsidRPr="007A3904" w:rsidRDefault="00C12ABA" w:rsidP="003B7FEB">
      <w:pPr>
        <w:pStyle w:val="Textonotapie"/>
        <w:rPr>
          <w:rFonts w:ascii="Century Gothic" w:hAnsi="Century Gothic"/>
          <w:sz w:val="16"/>
          <w:szCs w:val="16"/>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w:t>
      </w:r>
      <w:r w:rsidRPr="007A3904">
        <w:rPr>
          <w:rFonts w:ascii="Century Gothic" w:hAnsi="Century Gothic"/>
          <w:i/>
          <w:sz w:val="16"/>
          <w:szCs w:val="16"/>
        </w:rPr>
        <w:t>op cit. Ver nota 9.</w:t>
      </w:r>
    </w:p>
  </w:footnote>
  <w:footnote w:id="41">
    <w:p w:rsidR="00C12ABA" w:rsidRPr="007A3904" w:rsidRDefault="00C12ABA" w:rsidP="003B7FEB">
      <w:pPr>
        <w:pStyle w:val="Textonotapie"/>
        <w:rPr>
          <w:rFonts w:ascii="Century Gothic" w:hAnsi="Century Gothic"/>
          <w:sz w:val="16"/>
          <w:szCs w:val="16"/>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Proyección prevista en los Pre-Criterios Generales de Política Económica 2019, similar al aprobado por el H. Congreso de la Unión, para el ejercicio fiscal 2018 y que se espera se mantenga durante 2019.</w:t>
      </w:r>
    </w:p>
  </w:footnote>
  <w:footnote w:id="42">
    <w:p w:rsidR="00C12ABA" w:rsidRPr="007A3904" w:rsidRDefault="00C12ABA" w:rsidP="003B7FEB">
      <w:pPr>
        <w:pStyle w:val="Textonotapie"/>
        <w:rPr>
          <w:rFonts w:ascii="Century Gothic" w:hAnsi="Century Gothic"/>
          <w:sz w:val="16"/>
          <w:szCs w:val="16"/>
          <w:lang w:val="es-MX"/>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w:t>
      </w:r>
      <w:r w:rsidRPr="007A3904">
        <w:rPr>
          <w:rFonts w:ascii="Century Gothic" w:hAnsi="Century Gothic"/>
          <w:sz w:val="16"/>
          <w:szCs w:val="16"/>
          <w:lang w:val="es-MX"/>
        </w:rPr>
        <w:t>Promedio.</w:t>
      </w:r>
    </w:p>
  </w:footnote>
  <w:footnote w:id="43">
    <w:p w:rsidR="00C12ABA" w:rsidRPr="007A3904" w:rsidRDefault="00C12ABA" w:rsidP="003B7FEB">
      <w:pPr>
        <w:pStyle w:val="Textonotapie"/>
        <w:rPr>
          <w:rFonts w:ascii="Century Gothic" w:hAnsi="Century Gothic"/>
          <w:sz w:val="16"/>
          <w:szCs w:val="16"/>
        </w:rPr>
      </w:pPr>
      <w:r w:rsidRPr="007A3904">
        <w:rPr>
          <w:rStyle w:val="Refdenotaalpie"/>
          <w:rFonts w:ascii="Century Gothic" w:hAnsi="Century Gothic"/>
          <w:sz w:val="16"/>
          <w:szCs w:val="16"/>
        </w:rPr>
        <w:footnoteRef/>
      </w:r>
      <w:r w:rsidRPr="007A3904">
        <w:rPr>
          <w:rFonts w:ascii="Century Gothic" w:hAnsi="Century Gothic"/>
          <w:sz w:val="16"/>
          <w:szCs w:val="16"/>
        </w:rPr>
        <w:t>https://www.gob.mx/shcp/prensa/comunicado-no-070-secretaria-de-hacienda-y-credito-publico-hace-entrega-del-paquete-economico-2021</w:t>
      </w:r>
    </w:p>
  </w:footnote>
  <w:footnote w:id="44">
    <w:p w:rsidR="00C12ABA" w:rsidRPr="007A3904" w:rsidRDefault="00C12ABA">
      <w:pPr>
        <w:pStyle w:val="Textonotapie"/>
        <w:rPr>
          <w:rFonts w:ascii="Century Gothic" w:hAnsi="Century Gothic"/>
          <w:sz w:val="16"/>
          <w:szCs w:val="16"/>
          <w:lang w:val="es-MX"/>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En Adelante PFEyM.</w:t>
      </w:r>
    </w:p>
  </w:footnote>
  <w:footnote w:id="45">
    <w:p w:rsidR="00C12ABA" w:rsidRPr="007A3904" w:rsidRDefault="00C12ABA">
      <w:pPr>
        <w:pStyle w:val="Textonotapie"/>
        <w:rPr>
          <w:rFonts w:ascii="Century Gothic" w:hAnsi="Century Gothic"/>
          <w:sz w:val="16"/>
          <w:szCs w:val="16"/>
          <w:lang w:val="es-MX"/>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Mil Millones de Pesos.</w:t>
      </w:r>
    </w:p>
  </w:footnote>
  <w:footnote w:id="46">
    <w:p w:rsidR="00C12ABA" w:rsidRPr="007A3904" w:rsidRDefault="00C12ABA">
      <w:pPr>
        <w:pStyle w:val="Textonotapie"/>
        <w:rPr>
          <w:rFonts w:ascii="Century Gothic" w:hAnsi="Century Gothic"/>
          <w:sz w:val="16"/>
          <w:szCs w:val="16"/>
          <w:lang w:val="es-MX"/>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Incluye participaciones, aportaciones y otros conceptos.</w:t>
      </w:r>
    </w:p>
  </w:footnote>
  <w:footnote w:id="47">
    <w:p w:rsidR="00C12ABA" w:rsidRPr="007A3904" w:rsidRDefault="00C12ABA">
      <w:pPr>
        <w:pStyle w:val="Textonotapie"/>
        <w:rPr>
          <w:rFonts w:ascii="Century Gothic" w:hAnsi="Century Gothic"/>
          <w:sz w:val="16"/>
          <w:szCs w:val="16"/>
          <w:lang w:val="es-MX"/>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w:t>
      </w:r>
      <w:r w:rsidRPr="007A3904">
        <w:rPr>
          <w:rFonts w:ascii="Century Gothic" w:hAnsi="Century Gothic"/>
          <w:sz w:val="16"/>
          <w:szCs w:val="16"/>
          <w:lang w:val="es-MX"/>
        </w:rPr>
        <w:t>Art. 3 fracción I del Código Fiscal del Estado de Nuevo León.</w:t>
      </w:r>
    </w:p>
  </w:footnote>
  <w:footnote w:id="48">
    <w:p w:rsidR="00C12ABA" w:rsidRPr="007A3904" w:rsidRDefault="00C12ABA">
      <w:pPr>
        <w:pStyle w:val="Textonotapie"/>
        <w:rPr>
          <w:rFonts w:ascii="Century Gothic" w:hAnsi="Century Gothic"/>
          <w:sz w:val="16"/>
          <w:szCs w:val="16"/>
          <w:lang w:val="en-US"/>
        </w:rPr>
      </w:pPr>
      <w:r w:rsidRPr="007A3904">
        <w:rPr>
          <w:rStyle w:val="Refdenotaalpie"/>
          <w:rFonts w:ascii="Century Gothic" w:hAnsi="Century Gothic"/>
          <w:sz w:val="16"/>
          <w:szCs w:val="16"/>
        </w:rPr>
        <w:footnoteRef/>
      </w:r>
      <w:r w:rsidRPr="007A3904">
        <w:rPr>
          <w:rFonts w:ascii="Century Gothic" w:hAnsi="Century Gothic"/>
          <w:sz w:val="16"/>
          <w:szCs w:val="16"/>
          <w:lang w:val="en-US"/>
        </w:rPr>
        <w:t xml:space="preserve"> Art. 3 Frac. II. CFENL</w:t>
      </w:r>
    </w:p>
  </w:footnote>
  <w:footnote w:id="49">
    <w:p w:rsidR="00C12ABA" w:rsidRPr="007A3904" w:rsidRDefault="00C12ABA">
      <w:pPr>
        <w:pStyle w:val="Textonotapie"/>
        <w:rPr>
          <w:rFonts w:ascii="Century Gothic" w:hAnsi="Century Gothic"/>
          <w:sz w:val="16"/>
          <w:szCs w:val="16"/>
          <w:lang w:val="en-US"/>
        </w:rPr>
      </w:pPr>
      <w:r w:rsidRPr="007A3904">
        <w:rPr>
          <w:rStyle w:val="Refdenotaalpie"/>
          <w:rFonts w:ascii="Century Gothic" w:hAnsi="Century Gothic"/>
          <w:sz w:val="16"/>
          <w:szCs w:val="16"/>
        </w:rPr>
        <w:footnoteRef/>
      </w:r>
      <w:r w:rsidRPr="007A3904">
        <w:rPr>
          <w:rFonts w:ascii="Century Gothic" w:hAnsi="Century Gothic"/>
          <w:sz w:val="16"/>
          <w:szCs w:val="16"/>
          <w:lang w:val="en-US"/>
        </w:rPr>
        <w:t xml:space="preserve"> Art. 4 CFENL</w:t>
      </w:r>
    </w:p>
  </w:footnote>
  <w:footnote w:id="50">
    <w:p w:rsidR="00C12ABA" w:rsidRPr="007A3904" w:rsidRDefault="00C12ABA">
      <w:pPr>
        <w:pStyle w:val="Textonotapie"/>
        <w:rPr>
          <w:rFonts w:ascii="Century Gothic" w:hAnsi="Century Gothic"/>
          <w:sz w:val="16"/>
          <w:szCs w:val="16"/>
          <w:lang w:val="es-MX"/>
        </w:rPr>
      </w:pPr>
      <w:r w:rsidRPr="007A3904">
        <w:rPr>
          <w:rStyle w:val="Refdenotaalpie"/>
          <w:rFonts w:ascii="Century Gothic" w:hAnsi="Century Gothic"/>
          <w:sz w:val="16"/>
          <w:szCs w:val="16"/>
        </w:rPr>
        <w:footnoteRef/>
      </w:r>
      <w:r w:rsidRPr="007A3904">
        <w:rPr>
          <w:rFonts w:ascii="Century Gothic" w:hAnsi="Century Gothic"/>
          <w:sz w:val="16"/>
          <w:szCs w:val="16"/>
        </w:rPr>
        <w:t xml:space="preserve"> Art. 4 CFENL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ABA" w:rsidRDefault="00C12ABA" w:rsidP="008A1C41">
    <w:pPr>
      <w:pStyle w:val="Encabezado"/>
      <w:jc w:val="center"/>
      <w:rPr>
        <w:rFonts w:ascii="Century Gothic" w:hAnsi="Century Gothic"/>
        <w:b/>
        <w:color w:val="7F7F7F" w:themeColor="text1" w:themeTint="80"/>
        <w:sz w:val="22"/>
      </w:rPr>
    </w:pPr>
  </w:p>
  <w:p w:rsidR="00C12ABA" w:rsidRPr="008A1C41" w:rsidRDefault="00C12ABA" w:rsidP="008A1C41">
    <w:pPr>
      <w:pStyle w:val="Encabezado"/>
      <w:jc w:val="center"/>
      <w:rPr>
        <w:rFonts w:ascii="Century Gothic" w:hAnsi="Century Gothic"/>
        <w:b/>
        <w:color w:val="7F7F7F" w:themeColor="text1" w:themeTint="80"/>
        <w:sz w:val="22"/>
      </w:rPr>
    </w:pPr>
    <w:r w:rsidRPr="008A1C41">
      <w:rPr>
        <w:rFonts w:ascii="Century Gothic" w:hAnsi="Century Gothic"/>
        <w:b/>
        <w:color w:val="7F7F7F" w:themeColor="text1" w:themeTint="80"/>
        <w:sz w:val="22"/>
      </w:rPr>
      <w:t>PROYECTO DE PRESUPUESTO DE INGRESOS 2020</w:t>
    </w:r>
  </w:p>
  <w:p w:rsidR="00C12ABA" w:rsidRDefault="00C12AB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ABA" w:rsidRDefault="00C12ABA" w:rsidP="008A1C41">
    <w:pPr>
      <w:pStyle w:val="Encabezado"/>
      <w:jc w:val="center"/>
      <w:rPr>
        <w:rFonts w:ascii="Century Gothic" w:hAnsi="Century Gothic"/>
        <w:b/>
        <w:color w:val="7F7F7F" w:themeColor="text1" w:themeTint="80"/>
        <w:sz w:val="22"/>
      </w:rPr>
    </w:pPr>
  </w:p>
  <w:p w:rsidR="00C12ABA" w:rsidRPr="008A1C41" w:rsidRDefault="00C12ABA" w:rsidP="008A1C41">
    <w:pPr>
      <w:pStyle w:val="Encabezado"/>
      <w:jc w:val="center"/>
      <w:rPr>
        <w:rFonts w:ascii="Century Gothic" w:hAnsi="Century Gothic"/>
        <w:b/>
        <w:color w:val="7F7F7F" w:themeColor="text1" w:themeTint="80"/>
        <w:sz w:val="22"/>
      </w:rPr>
    </w:pPr>
    <w:r w:rsidRPr="008A1C41">
      <w:rPr>
        <w:rFonts w:ascii="Century Gothic" w:hAnsi="Century Gothic"/>
        <w:b/>
        <w:color w:val="7F7F7F" w:themeColor="text1" w:themeTint="80"/>
        <w:sz w:val="22"/>
      </w:rPr>
      <w:t>PROYECTO</w:t>
    </w:r>
    <w:r>
      <w:rPr>
        <w:rFonts w:ascii="Century Gothic" w:hAnsi="Century Gothic"/>
        <w:b/>
        <w:color w:val="7F7F7F" w:themeColor="text1" w:themeTint="80"/>
        <w:sz w:val="22"/>
      </w:rPr>
      <w:t xml:space="preserve"> DE PRESUPUESTO DE INGRESOS 2022</w:t>
    </w:r>
  </w:p>
  <w:p w:rsidR="00C12ABA" w:rsidRDefault="00C12AB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ABA" w:rsidRDefault="00C12AB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610C"/>
    <w:multiLevelType w:val="hybridMultilevel"/>
    <w:tmpl w:val="E340AD96"/>
    <w:lvl w:ilvl="0" w:tplc="D34A388C">
      <w:start w:val="1"/>
      <w:numFmt w:val="upperRoman"/>
      <w:lvlText w:val="%1."/>
      <w:lvlJc w:val="left"/>
      <w:pPr>
        <w:ind w:left="1440" w:hanging="72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28F2BFE"/>
    <w:multiLevelType w:val="hybridMultilevel"/>
    <w:tmpl w:val="CE868B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1547F1"/>
    <w:multiLevelType w:val="hybridMultilevel"/>
    <w:tmpl w:val="7DD84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735F37"/>
    <w:multiLevelType w:val="hybridMultilevel"/>
    <w:tmpl w:val="0724290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EF6C43"/>
    <w:multiLevelType w:val="hybridMultilevel"/>
    <w:tmpl w:val="7982CB4E"/>
    <w:lvl w:ilvl="0" w:tplc="3294DD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84329B"/>
    <w:multiLevelType w:val="hybridMultilevel"/>
    <w:tmpl w:val="1E04F69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31751A"/>
    <w:multiLevelType w:val="hybridMultilevel"/>
    <w:tmpl w:val="94144C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C6018F"/>
    <w:multiLevelType w:val="hybridMultilevel"/>
    <w:tmpl w:val="D09A2660"/>
    <w:lvl w:ilvl="0" w:tplc="9FFE72D0">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3BDF2CAF"/>
    <w:multiLevelType w:val="hybridMultilevel"/>
    <w:tmpl w:val="ED42C5F0"/>
    <w:lvl w:ilvl="0" w:tplc="9FFE72D0">
      <w:start w:val="1"/>
      <w:numFmt w:val="bullet"/>
      <w:lvlText w:val="▪"/>
      <w:lvlJc w:val="left"/>
      <w:pPr>
        <w:ind w:left="345" w:hanging="360"/>
      </w:pPr>
      <w:rPr>
        <w:rFonts w:ascii="Segoe UI Symbol" w:eastAsia="Segoe UI Symbol" w:hAnsi="Segoe UI Symbol" w:cs="Segoe UI Symbol" w:hint="default"/>
        <w:b w:val="0"/>
        <w:i w:val="0"/>
        <w:strike w:val="0"/>
        <w:dstrike w:val="0"/>
        <w:color w:val="000000"/>
        <w:sz w:val="22"/>
        <w:szCs w:val="22"/>
        <w:u w:val="none" w:color="000000"/>
        <w:effect w:val="none"/>
        <w:bdr w:val="none" w:sz="0" w:space="0" w:color="auto" w:frame="1"/>
        <w:vertAlign w:val="baseline"/>
      </w:rPr>
    </w:lvl>
    <w:lvl w:ilvl="1" w:tplc="080A0003">
      <w:start w:val="1"/>
      <w:numFmt w:val="bullet"/>
      <w:lvlText w:val="o"/>
      <w:lvlJc w:val="left"/>
      <w:pPr>
        <w:ind w:left="1065" w:hanging="360"/>
      </w:pPr>
      <w:rPr>
        <w:rFonts w:ascii="Courier New" w:hAnsi="Courier New" w:cs="Courier New" w:hint="default"/>
      </w:rPr>
    </w:lvl>
    <w:lvl w:ilvl="2" w:tplc="080A0005">
      <w:start w:val="1"/>
      <w:numFmt w:val="bullet"/>
      <w:lvlText w:val=""/>
      <w:lvlJc w:val="left"/>
      <w:pPr>
        <w:ind w:left="1785" w:hanging="360"/>
      </w:pPr>
      <w:rPr>
        <w:rFonts w:ascii="Wingdings" w:hAnsi="Wingdings" w:hint="default"/>
      </w:rPr>
    </w:lvl>
    <w:lvl w:ilvl="3" w:tplc="080A0001">
      <w:start w:val="1"/>
      <w:numFmt w:val="bullet"/>
      <w:lvlText w:val=""/>
      <w:lvlJc w:val="left"/>
      <w:pPr>
        <w:ind w:left="2505" w:hanging="360"/>
      </w:pPr>
      <w:rPr>
        <w:rFonts w:ascii="Symbol" w:hAnsi="Symbol" w:hint="default"/>
      </w:rPr>
    </w:lvl>
    <w:lvl w:ilvl="4" w:tplc="080A0003">
      <w:start w:val="1"/>
      <w:numFmt w:val="bullet"/>
      <w:lvlText w:val="o"/>
      <w:lvlJc w:val="left"/>
      <w:pPr>
        <w:ind w:left="3225" w:hanging="360"/>
      </w:pPr>
      <w:rPr>
        <w:rFonts w:ascii="Courier New" w:hAnsi="Courier New" w:cs="Courier New" w:hint="default"/>
      </w:rPr>
    </w:lvl>
    <w:lvl w:ilvl="5" w:tplc="080A0005">
      <w:start w:val="1"/>
      <w:numFmt w:val="bullet"/>
      <w:lvlText w:val=""/>
      <w:lvlJc w:val="left"/>
      <w:pPr>
        <w:ind w:left="3945" w:hanging="360"/>
      </w:pPr>
      <w:rPr>
        <w:rFonts w:ascii="Wingdings" w:hAnsi="Wingdings" w:hint="default"/>
      </w:rPr>
    </w:lvl>
    <w:lvl w:ilvl="6" w:tplc="080A0001">
      <w:start w:val="1"/>
      <w:numFmt w:val="bullet"/>
      <w:lvlText w:val=""/>
      <w:lvlJc w:val="left"/>
      <w:pPr>
        <w:ind w:left="4665" w:hanging="360"/>
      </w:pPr>
      <w:rPr>
        <w:rFonts w:ascii="Symbol" w:hAnsi="Symbol" w:hint="default"/>
      </w:rPr>
    </w:lvl>
    <w:lvl w:ilvl="7" w:tplc="080A0003">
      <w:start w:val="1"/>
      <w:numFmt w:val="bullet"/>
      <w:lvlText w:val="o"/>
      <w:lvlJc w:val="left"/>
      <w:pPr>
        <w:ind w:left="5385" w:hanging="360"/>
      </w:pPr>
      <w:rPr>
        <w:rFonts w:ascii="Courier New" w:hAnsi="Courier New" w:cs="Courier New" w:hint="default"/>
      </w:rPr>
    </w:lvl>
    <w:lvl w:ilvl="8" w:tplc="080A0005">
      <w:start w:val="1"/>
      <w:numFmt w:val="bullet"/>
      <w:lvlText w:val=""/>
      <w:lvlJc w:val="left"/>
      <w:pPr>
        <w:ind w:left="6105" w:hanging="360"/>
      </w:pPr>
      <w:rPr>
        <w:rFonts w:ascii="Wingdings" w:hAnsi="Wingdings" w:hint="default"/>
      </w:rPr>
    </w:lvl>
  </w:abstractNum>
  <w:abstractNum w:abstractNumId="9" w15:restartNumberingAfterBreak="0">
    <w:nsid w:val="3DA653D4"/>
    <w:multiLevelType w:val="hybridMultilevel"/>
    <w:tmpl w:val="530A1978"/>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10" w15:restartNumberingAfterBreak="0">
    <w:nsid w:val="4AB0022A"/>
    <w:multiLevelType w:val="hybridMultilevel"/>
    <w:tmpl w:val="5DBEAAC4"/>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B4423D5"/>
    <w:multiLevelType w:val="hybridMultilevel"/>
    <w:tmpl w:val="B75CCF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EC7184"/>
    <w:multiLevelType w:val="hybridMultilevel"/>
    <w:tmpl w:val="4FB43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10338BB"/>
    <w:multiLevelType w:val="hybridMultilevel"/>
    <w:tmpl w:val="44FCF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B9E7E3E"/>
    <w:multiLevelType w:val="hybridMultilevel"/>
    <w:tmpl w:val="B21A3558"/>
    <w:lvl w:ilvl="0" w:tplc="9FFE72D0">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6B3B0C4C"/>
    <w:multiLevelType w:val="hybridMultilevel"/>
    <w:tmpl w:val="F21841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536E9E"/>
    <w:multiLevelType w:val="hybridMultilevel"/>
    <w:tmpl w:val="74C64FF8"/>
    <w:lvl w:ilvl="0" w:tplc="DD3E3C5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71550E5B"/>
    <w:multiLevelType w:val="hybridMultilevel"/>
    <w:tmpl w:val="D3B662D2"/>
    <w:lvl w:ilvl="0" w:tplc="D34A388C">
      <w:start w:val="1"/>
      <w:numFmt w:val="upperRoman"/>
      <w:lvlText w:val="%1."/>
      <w:lvlJc w:val="left"/>
      <w:pPr>
        <w:ind w:left="1440" w:hanging="720"/>
      </w:pPr>
      <w:rPr>
        <w:rFonts w:hint="default"/>
      </w:r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75587C36"/>
    <w:multiLevelType w:val="hybridMultilevel"/>
    <w:tmpl w:val="F59CFBC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C9F3866"/>
    <w:multiLevelType w:val="hybridMultilevel"/>
    <w:tmpl w:val="BE36C6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4"/>
  </w:num>
  <w:num w:numId="3">
    <w:abstractNumId w:val="7"/>
  </w:num>
  <w:num w:numId="4">
    <w:abstractNumId w:val="9"/>
  </w:num>
  <w:num w:numId="5">
    <w:abstractNumId w:val="10"/>
  </w:num>
  <w:num w:numId="6">
    <w:abstractNumId w:val="8"/>
  </w:num>
  <w:num w:numId="7">
    <w:abstractNumId w:val="0"/>
  </w:num>
  <w:num w:numId="8">
    <w:abstractNumId w:val="16"/>
  </w:num>
  <w:num w:numId="9">
    <w:abstractNumId w:val="2"/>
  </w:num>
  <w:num w:numId="10">
    <w:abstractNumId w:val="13"/>
  </w:num>
  <w:num w:numId="11">
    <w:abstractNumId w:val="11"/>
  </w:num>
  <w:num w:numId="12">
    <w:abstractNumId w:val="3"/>
  </w:num>
  <w:num w:numId="13">
    <w:abstractNumId w:val="18"/>
  </w:num>
  <w:num w:numId="14">
    <w:abstractNumId w:val="4"/>
  </w:num>
  <w:num w:numId="15">
    <w:abstractNumId w:val="17"/>
  </w:num>
  <w:num w:numId="16">
    <w:abstractNumId w:val="12"/>
  </w:num>
  <w:num w:numId="17">
    <w:abstractNumId w:val="5"/>
  </w:num>
  <w:num w:numId="18">
    <w:abstractNumId w:val="6"/>
  </w:num>
  <w:num w:numId="19">
    <w:abstractNumId w:val="15"/>
  </w:num>
  <w:num w:numId="20">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6AC"/>
    <w:rsid w:val="000009CA"/>
    <w:rsid w:val="00000CCC"/>
    <w:rsid w:val="00002760"/>
    <w:rsid w:val="00003544"/>
    <w:rsid w:val="00003657"/>
    <w:rsid w:val="00005AC5"/>
    <w:rsid w:val="00005B11"/>
    <w:rsid w:val="000067B6"/>
    <w:rsid w:val="00011E1A"/>
    <w:rsid w:val="00011EBC"/>
    <w:rsid w:val="00011F99"/>
    <w:rsid w:val="00012458"/>
    <w:rsid w:val="00012883"/>
    <w:rsid w:val="00012A25"/>
    <w:rsid w:val="00013457"/>
    <w:rsid w:val="00013A5A"/>
    <w:rsid w:val="0001454E"/>
    <w:rsid w:val="0001503A"/>
    <w:rsid w:val="00016063"/>
    <w:rsid w:val="00017E5C"/>
    <w:rsid w:val="00017F8D"/>
    <w:rsid w:val="000203F5"/>
    <w:rsid w:val="00022C46"/>
    <w:rsid w:val="00022D6A"/>
    <w:rsid w:val="000238F1"/>
    <w:rsid w:val="00023EEA"/>
    <w:rsid w:val="00024D36"/>
    <w:rsid w:val="00025E27"/>
    <w:rsid w:val="00025FBA"/>
    <w:rsid w:val="00026B5A"/>
    <w:rsid w:val="00031B15"/>
    <w:rsid w:val="00032FDC"/>
    <w:rsid w:val="000341A8"/>
    <w:rsid w:val="00034820"/>
    <w:rsid w:val="00035166"/>
    <w:rsid w:val="0003645C"/>
    <w:rsid w:val="00036D4F"/>
    <w:rsid w:val="000370E7"/>
    <w:rsid w:val="000375C4"/>
    <w:rsid w:val="00040B68"/>
    <w:rsid w:val="00042B30"/>
    <w:rsid w:val="00043E90"/>
    <w:rsid w:val="00044069"/>
    <w:rsid w:val="00044749"/>
    <w:rsid w:val="0004545A"/>
    <w:rsid w:val="00045A12"/>
    <w:rsid w:val="00047D8F"/>
    <w:rsid w:val="00047DFC"/>
    <w:rsid w:val="00051D81"/>
    <w:rsid w:val="00057874"/>
    <w:rsid w:val="00061B4C"/>
    <w:rsid w:val="00061FED"/>
    <w:rsid w:val="00062E0F"/>
    <w:rsid w:val="000631AC"/>
    <w:rsid w:val="00063938"/>
    <w:rsid w:val="00064B45"/>
    <w:rsid w:val="00065C78"/>
    <w:rsid w:val="00066841"/>
    <w:rsid w:val="00067533"/>
    <w:rsid w:val="0007080C"/>
    <w:rsid w:val="00070C0E"/>
    <w:rsid w:val="0007188E"/>
    <w:rsid w:val="00071D0D"/>
    <w:rsid w:val="00072CAD"/>
    <w:rsid w:val="00072E42"/>
    <w:rsid w:val="00073603"/>
    <w:rsid w:val="00073D6E"/>
    <w:rsid w:val="00074973"/>
    <w:rsid w:val="0007623F"/>
    <w:rsid w:val="00077A50"/>
    <w:rsid w:val="00077B32"/>
    <w:rsid w:val="000804CC"/>
    <w:rsid w:val="000808E6"/>
    <w:rsid w:val="000809FD"/>
    <w:rsid w:val="00082291"/>
    <w:rsid w:val="00083485"/>
    <w:rsid w:val="00083677"/>
    <w:rsid w:val="000837FD"/>
    <w:rsid w:val="000842FF"/>
    <w:rsid w:val="000859E5"/>
    <w:rsid w:val="00086882"/>
    <w:rsid w:val="000873A8"/>
    <w:rsid w:val="000875EF"/>
    <w:rsid w:val="00087B2C"/>
    <w:rsid w:val="00087F81"/>
    <w:rsid w:val="00091D7D"/>
    <w:rsid w:val="00094AB9"/>
    <w:rsid w:val="0009561D"/>
    <w:rsid w:val="000A0D7B"/>
    <w:rsid w:val="000A2FD4"/>
    <w:rsid w:val="000A317A"/>
    <w:rsid w:val="000A515C"/>
    <w:rsid w:val="000A5B2B"/>
    <w:rsid w:val="000A7045"/>
    <w:rsid w:val="000A72DF"/>
    <w:rsid w:val="000A7F1A"/>
    <w:rsid w:val="000B04B2"/>
    <w:rsid w:val="000B0879"/>
    <w:rsid w:val="000B0898"/>
    <w:rsid w:val="000B091C"/>
    <w:rsid w:val="000B0C98"/>
    <w:rsid w:val="000B0DA3"/>
    <w:rsid w:val="000B1A05"/>
    <w:rsid w:val="000B2BF3"/>
    <w:rsid w:val="000B34E1"/>
    <w:rsid w:val="000B35C1"/>
    <w:rsid w:val="000B3613"/>
    <w:rsid w:val="000B3B48"/>
    <w:rsid w:val="000B4906"/>
    <w:rsid w:val="000B533F"/>
    <w:rsid w:val="000B5EE9"/>
    <w:rsid w:val="000B72A7"/>
    <w:rsid w:val="000B7718"/>
    <w:rsid w:val="000C06BB"/>
    <w:rsid w:val="000C2A2B"/>
    <w:rsid w:val="000C3319"/>
    <w:rsid w:val="000C36CD"/>
    <w:rsid w:val="000C4F87"/>
    <w:rsid w:val="000C67F4"/>
    <w:rsid w:val="000C6A86"/>
    <w:rsid w:val="000D167E"/>
    <w:rsid w:val="000D24A0"/>
    <w:rsid w:val="000D3763"/>
    <w:rsid w:val="000D39BD"/>
    <w:rsid w:val="000D4551"/>
    <w:rsid w:val="000D4776"/>
    <w:rsid w:val="000D5536"/>
    <w:rsid w:val="000D73C9"/>
    <w:rsid w:val="000D7437"/>
    <w:rsid w:val="000D7E3E"/>
    <w:rsid w:val="000E0C50"/>
    <w:rsid w:val="000E2687"/>
    <w:rsid w:val="000E2C92"/>
    <w:rsid w:val="000E2E88"/>
    <w:rsid w:val="000E3E01"/>
    <w:rsid w:val="000E528D"/>
    <w:rsid w:val="000E554E"/>
    <w:rsid w:val="000E5DC5"/>
    <w:rsid w:val="000E6232"/>
    <w:rsid w:val="000E79B3"/>
    <w:rsid w:val="000F0318"/>
    <w:rsid w:val="000F0AD5"/>
    <w:rsid w:val="000F185E"/>
    <w:rsid w:val="000F2E42"/>
    <w:rsid w:val="000F4234"/>
    <w:rsid w:val="000F74E8"/>
    <w:rsid w:val="000F752E"/>
    <w:rsid w:val="000F78F6"/>
    <w:rsid w:val="001020A5"/>
    <w:rsid w:val="00104538"/>
    <w:rsid w:val="00104647"/>
    <w:rsid w:val="0010622F"/>
    <w:rsid w:val="00106447"/>
    <w:rsid w:val="00106A66"/>
    <w:rsid w:val="001078FF"/>
    <w:rsid w:val="00110423"/>
    <w:rsid w:val="00111E50"/>
    <w:rsid w:val="00114FD8"/>
    <w:rsid w:val="00115799"/>
    <w:rsid w:val="0011703E"/>
    <w:rsid w:val="001205D7"/>
    <w:rsid w:val="00121618"/>
    <w:rsid w:val="001232F5"/>
    <w:rsid w:val="00123855"/>
    <w:rsid w:val="00123A00"/>
    <w:rsid w:val="00124437"/>
    <w:rsid w:val="00124485"/>
    <w:rsid w:val="00124CD3"/>
    <w:rsid w:val="001254ED"/>
    <w:rsid w:val="00125F35"/>
    <w:rsid w:val="00131C7F"/>
    <w:rsid w:val="00132CE3"/>
    <w:rsid w:val="001331E7"/>
    <w:rsid w:val="001364A5"/>
    <w:rsid w:val="00136B44"/>
    <w:rsid w:val="00137425"/>
    <w:rsid w:val="00140768"/>
    <w:rsid w:val="00140CC6"/>
    <w:rsid w:val="001424D7"/>
    <w:rsid w:val="00142AE5"/>
    <w:rsid w:val="001439D7"/>
    <w:rsid w:val="00143C0D"/>
    <w:rsid w:val="00143D65"/>
    <w:rsid w:val="00143D7D"/>
    <w:rsid w:val="001448EA"/>
    <w:rsid w:val="0014520A"/>
    <w:rsid w:val="00146230"/>
    <w:rsid w:val="00147531"/>
    <w:rsid w:val="001478F4"/>
    <w:rsid w:val="00150536"/>
    <w:rsid w:val="00151890"/>
    <w:rsid w:val="0015191A"/>
    <w:rsid w:val="001529B0"/>
    <w:rsid w:val="00153769"/>
    <w:rsid w:val="00154C02"/>
    <w:rsid w:val="00155C1F"/>
    <w:rsid w:val="0016051E"/>
    <w:rsid w:val="001619D9"/>
    <w:rsid w:val="001628EB"/>
    <w:rsid w:val="0016345F"/>
    <w:rsid w:val="00163797"/>
    <w:rsid w:val="001657F4"/>
    <w:rsid w:val="0016640B"/>
    <w:rsid w:val="00166413"/>
    <w:rsid w:val="00166858"/>
    <w:rsid w:val="00167702"/>
    <w:rsid w:val="00167ED9"/>
    <w:rsid w:val="001729DE"/>
    <w:rsid w:val="00173043"/>
    <w:rsid w:val="00174090"/>
    <w:rsid w:val="00174750"/>
    <w:rsid w:val="00174A10"/>
    <w:rsid w:val="00174A29"/>
    <w:rsid w:val="001763AA"/>
    <w:rsid w:val="00181243"/>
    <w:rsid w:val="0018232F"/>
    <w:rsid w:val="001836FD"/>
    <w:rsid w:val="001841FC"/>
    <w:rsid w:val="001844BD"/>
    <w:rsid w:val="001851D2"/>
    <w:rsid w:val="00185B22"/>
    <w:rsid w:val="0018788B"/>
    <w:rsid w:val="00193FE7"/>
    <w:rsid w:val="00195A4F"/>
    <w:rsid w:val="00197C23"/>
    <w:rsid w:val="00197F92"/>
    <w:rsid w:val="001A10D3"/>
    <w:rsid w:val="001A15FB"/>
    <w:rsid w:val="001A448E"/>
    <w:rsid w:val="001A66A6"/>
    <w:rsid w:val="001B11C7"/>
    <w:rsid w:val="001B30A9"/>
    <w:rsid w:val="001B328E"/>
    <w:rsid w:val="001B428E"/>
    <w:rsid w:val="001B7461"/>
    <w:rsid w:val="001B7887"/>
    <w:rsid w:val="001B7D77"/>
    <w:rsid w:val="001C0699"/>
    <w:rsid w:val="001C0D4E"/>
    <w:rsid w:val="001C1B6B"/>
    <w:rsid w:val="001C37F9"/>
    <w:rsid w:val="001C3AFE"/>
    <w:rsid w:val="001C4C0F"/>
    <w:rsid w:val="001C522E"/>
    <w:rsid w:val="001C588C"/>
    <w:rsid w:val="001C6D5A"/>
    <w:rsid w:val="001D0AF2"/>
    <w:rsid w:val="001D19F2"/>
    <w:rsid w:val="001D1BB3"/>
    <w:rsid w:val="001D57B4"/>
    <w:rsid w:val="001D59B9"/>
    <w:rsid w:val="001D686B"/>
    <w:rsid w:val="001D7AF1"/>
    <w:rsid w:val="001E1257"/>
    <w:rsid w:val="001E2E69"/>
    <w:rsid w:val="001E3401"/>
    <w:rsid w:val="001E360E"/>
    <w:rsid w:val="001E5DC2"/>
    <w:rsid w:val="001E63AA"/>
    <w:rsid w:val="001E7114"/>
    <w:rsid w:val="001F052B"/>
    <w:rsid w:val="001F1C09"/>
    <w:rsid w:val="001F2633"/>
    <w:rsid w:val="001F4A70"/>
    <w:rsid w:val="001F5EF2"/>
    <w:rsid w:val="002004D3"/>
    <w:rsid w:val="0020204C"/>
    <w:rsid w:val="002021A6"/>
    <w:rsid w:val="002026E8"/>
    <w:rsid w:val="002031CA"/>
    <w:rsid w:val="00203DE7"/>
    <w:rsid w:val="002044E9"/>
    <w:rsid w:val="002054E5"/>
    <w:rsid w:val="00205ABB"/>
    <w:rsid w:val="00205B95"/>
    <w:rsid w:val="00205BAC"/>
    <w:rsid w:val="00205E1C"/>
    <w:rsid w:val="00207C5F"/>
    <w:rsid w:val="00213C5E"/>
    <w:rsid w:val="0021551A"/>
    <w:rsid w:val="0021770B"/>
    <w:rsid w:val="00217A62"/>
    <w:rsid w:val="00217DBB"/>
    <w:rsid w:val="0022005C"/>
    <w:rsid w:val="00220178"/>
    <w:rsid w:val="00222A12"/>
    <w:rsid w:val="00222AE3"/>
    <w:rsid w:val="0022333B"/>
    <w:rsid w:val="00227C44"/>
    <w:rsid w:val="00230AAF"/>
    <w:rsid w:val="00231630"/>
    <w:rsid w:val="00231F23"/>
    <w:rsid w:val="00232F51"/>
    <w:rsid w:val="00233343"/>
    <w:rsid w:val="00233541"/>
    <w:rsid w:val="00234711"/>
    <w:rsid w:val="0023672D"/>
    <w:rsid w:val="002374C7"/>
    <w:rsid w:val="002403E0"/>
    <w:rsid w:val="002404DF"/>
    <w:rsid w:val="00240845"/>
    <w:rsid w:val="00240ED1"/>
    <w:rsid w:val="00241072"/>
    <w:rsid w:val="0024110C"/>
    <w:rsid w:val="002418AE"/>
    <w:rsid w:val="00241BF5"/>
    <w:rsid w:val="002420DE"/>
    <w:rsid w:val="002431D5"/>
    <w:rsid w:val="002438C5"/>
    <w:rsid w:val="002504FD"/>
    <w:rsid w:val="00250712"/>
    <w:rsid w:val="0025074A"/>
    <w:rsid w:val="00250B17"/>
    <w:rsid w:val="002517D4"/>
    <w:rsid w:val="00251F52"/>
    <w:rsid w:val="0025365B"/>
    <w:rsid w:val="00254F18"/>
    <w:rsid w:val="00256083"/>
    <w:rsid w:val="00264B4A"/>
    <w:rsid w:val="00265B99"/>
    <w:rsid w:val="002701EF"/>
    <w:rsid w:val="00270EFB"/>
    <w:rsid w:val="002718EF"/>
    <w:rsid w:val="00271A44"/>
    <w:rsid w:val="00272DAD"/>
    <w:rsid w:val="002730D3"/>
    <w:rsid w:val="0027454E"/>
    <w:rsid w:val="00274E81"/>
    <w:rsid w:val="0027679F"/>
    <w:rsid w:val="00276C45"/>
    <w:rsid w:val="002778D6"/>
    <w:rsid w:val="002818AE"/>
    <w:rsid w:val="002818EA"/>
    <w:rsid w:val="00281D8D"/>
    <w:rsid w:val="0028243E"/>
    <w:rsid w:val="00282940"/>
    <w:rsid w:val="00283773"/>
    <w:rsid w:val="00283AC9"/>
    <w:rsid w:val="002849D9"/>
    <w:rsid w:val="00284EC8"/>
    <w:rsid w:val="00284FC9"/>
    <w:rsid w:val="002863D7"/>
    <w:rsid w:val="00287308"/>
    <w:rsid w:val="00287B11"/>
    <w:rsid w:val="00291B0C"/>
    <w:rsid w:val="002945B4"/>
    <w:rsid w:val="002975A3"/>
    <w:rsid w:val="002A14B3"/>
    <w:rsid w:val="002A1629"/>
    <w:rsid w:val="002A1F07"/>
    <w:rsid w:val="002A259A"/>
    <w:rsid w:val="002A3549"/>
    <w:rsid w:val="002A4069"/>
    <w:rsid w:val="002A43CD"/>
    <w:rsid w:val="002A47AC"/>
    <w:rsid w:val="002A670D"/>
    <w:rsid w:val="002B1701"/>
    <w:rsid w:val="002B1B25"/>
    <w:rsid w:val="002B2666"/>
    <w:rsid w:val="002B3016"/>
    <w:rsid w:val="002B3F5E"/>
    <w:rsid w:val="002B6A26"/>
    <w:rsid w:val="002C0B1B"/>
    <w:rsid w:val="002C0B34"/>
    <w:rsid w:val="002C18B0"/>
    <w:rsid w:val="002C36F6"/>
    <w:rsid w:val="002C4B05"/>
    <w:rsid w:val="002C6D7D"/>
    <w:rsid w:val="002C79AC"/>
    <w:rsid w:val="002D01BA"/>
    <w:rsid w:val="002D112C"/>
    <w:rsid w:val="002D2B2B"/>
    <w:rsid w:val="002D3385"/>
    <w:rsid w:val="002D44CB"/>
    <w:rsid w:val="002D4C67"/>
    <w:rsid w:val="002D7761"/>
    <w:rsid w:val="002E089D"/>
    <w:rsid w:val="002E0AE9"/>
    <w:rsid w:val="002E14EE"/>
    <w:rsid w:val="002E26DB"/>
    <w:rsid w:val="002E330B"/>
    <w:rsid w:val="002E41A7"/>
    <w:rsid w:val="002E5273"/>
    <w:rsid w:val="002E5A5E"/>
    <w:rsid w:val="002E6121"/>
    <w:rsid w:val="002E77B5"/>
    <w:rsid w:val="002F09FF"/>
    <w:rsid w:val="002F2BB9"/>
    <w:rsid w:val="002F33FA"/>
    <w:rsid w:val="002F3B53"/>
    <w:rsid w:val="002F4F97"/>
    <w:rsid w:val="002F53B2"/>
    <w:rsid w:val="002F5459"/>
    <w:rsid w:val="002F6659"/>
    <w:rsid w:val="002F7B4B"/>
    <w:rsid w:val="0030194A"/>
    <w:rsid w:val="00302169"/>
    <w:rsid w:val="003028D0"/>
    <w:rsid w:val="00304E9F"/>
    <w:rsid w:val="00305BCA"/>
    <w:rsid w:val="003073A9"/>
    <w:rsid w:val="00310E65"/>
    <w:rsid w:val="00311FAF"/>
    <w:rsid w:val="003145B3"/>
    <w:rsid w:val="003158D3"/>
    <w:rsid w:val="003175B1"/>
    <w:rsid w:val="00317795"/>
    <w:rsid w:val="003178DD"/>
    <w:rsid w:val="00320B36"/>
    <w:rsid w:val="00321250"/>
    <w:rsid w:val="003213CF"/>
    <w:rsid w:val="003215C8"/>
    <w:rsid w:val="00322ABE"/>
    <w:rsid w:val="00322B48"/>
    <w:rsid w:val="0032352A"/>
    <w:rsid w:val="0032505C"/>
    <w:rsid w:val="00325333"/>
    <w:rsid w:val="00325601"/>
    <w:rsid w:val="00325980"/>
    <w:rsid w:val="0032724D"/>
    <w:rsid w:val="0033072C"/>
    <w:rsid w:val="00332F2E"/>
    <w:rsid w:val="00333FD5"/>
    <w:rsid w:val="003341F6"/>
    <w:rsid w:val="003343A8"/>
    <w:rsid w:val="003362B5"/>
    <w:rsid w:val="00336ED1"/>
    <w:rsid w:val="003375C4"/>
    <w:rsid w:val="00337A61"/>
    <w:rsid w:val="0034010C"/>
    <w:rsid w:val="00342153"/>
    <w:rsid w:val="003438ED"/>
    <w:rsid w:val="0034395B"/>
    <w:rsid w:val="003447CA"/>
    <w:rsid w:val="0034520B"/>
    <w:rsid w:val="00347E5C"/>
    <w:rsid w:val="00350E27"/>
    <w:rsid w:val="0035144B"/>
    <w:rsid w:val="00351E10"/>
    <w:rsid w:val="003520C6"/>
    <w:rsid w:val="00352E1C"/>
    <w:rsid w:val="00357004"/>
    <w:rsid w:val="003576F8"/>
    <w:rsid w:val="0035791E"/>
    <w:rsid w:val="003604ED"/>
    <w:rsid w:val="003611EB"/>
    <w:rsid w:val="00361DDC"/>
    <w:rsid w:val="003629A6"/>
    <w:rsid w:val="00363398"/>
    <w:rsid w:val="00364099"/>
    <w:rsid w:val="003644CD"/>
    <w:rsid w:val="00366179"/>
    <w:rsid w:val="003672EE"/>
    <w:rsid w:val="003728A8"/>
    <w:rsid w:val="0037309F"/>
    <w:rsid w:val="00373D9F"/>
    <w:rsid w:val="00373DAB"/>
    <w:rsid w:val="00374971"/>
    <w:rsid w:val="00374C01"/>
    <w:rsid w:val="00375675"/>
    <w:rsid w:val="00375788"/>
    <w:rsid w:val="00375F0D"/>
    <w:rsid w:val="0037708B"/>
    <w:rsid w:val="00377835"/>
    <w:rsid w:val="003825FB"/>
    <w:rsid w:val="003835F3"/>
    <w:rsid w:val="00383603"/>
    <w:rsid w:val="003836D7"/>
    <w:rsid w:val="00385E24"/>
    <w:rsid w:val="003877DB"/>
    <w:rsid w:val="00391B5A"/>
    <w:rsid w:val="00395435"/>
    <w:rsid w:val="00395E61"/>
    <w:rsid w:val="00396ACF"/>
    <w:rsid w:val="003A1825"/>
    <w:rsid w:val="003A2367"/>
    <w:rsid w:val="003A25D6"/>
    <w:rsid w:val="003A2752"/>
    <w:rsid w:val="003A2A3C"/>
    <w:rsid w:val="003A3660"/>
    <w:rsid w:val="003A6064"/>
    <w:rsid w:val="003A67B8"/>
    <w:rsid w:val="003A6D67"/>
    <w:rsid w:val="003A76BC"/>
    <w:rsid w:val="003B00BE"/>
    <w:rsid w:val="003B0608"/>
    <w:rsid w:val="003B0F99"/>
    <w:rsid w:val="003B14E4"/>
    <w:rsid w:val="003B1594"/>
    <w:rsid w:val="003B2754"/>
    <w:rsid w:val="003B3BF9"/>
    <w:rsid w:val="003B6737"/>
    <w:rsid w:val="003B7039"/>
    <w:rsid w:val="003B78F4"/>
    <w:rsid w:val="003B7FEB"/>
    <w:rsid w:val="003C025B"/>
    <w:rsid w:val="003C02CF"/>
    <w:rsid w:val="003C1A84"/>
    <w:rsid w:val="003C2C53"/>
    <w:rsid w:val="003C4B26"/>
    <w:rsid w:val="003C57FD"/>
    <w:rsid w:val="003C595E"/>
    <w:rsid w:val="003C7081"/>
    <w:rsid w:val="003C791A"/>
    <w:rsid w:val="003C7FAF"/>
    <w:rsid w:val="003D0310"/>
    <w:rsid w:val="003D3DD4"/>
    <w:rsid w:val="003D448B"/>
    <w:rsid w:val="003D5543"/>
    <w:rsid w:val="003D5DC6"/>
    <w:rsid w:val="003D6327"/>
    <w:rsid w:val="003D7016"/>
    <w:rsid w:val="003D7162"/>
    <w:rsid w:val="003E0C0E"/>
    <w:rsid w:val="003E0F2B"/>
    <w:rsid w:val="003E1055"/>
    <w:rsid w:val="003E112F"/>
    <w:rsid w:val="003E1F58"/>
    <w:rsid w:val="003E3420"/>
    <w:rsid w:val="003E39D4"/>
    <w:rsid w:val="003E5AD1"/>
    <w:rsid w:val="003E7314"/>
    <w:rsid w:val="003E784D"/>
    <w:rsid w:val="003F031B"/>
    <w:rsid w:val="003F288B"/>
    <w:rsid w:val="003F288D"/>
    <w:rsid w:val="003F3147"/>
    <w:rsid w:val="003F4EA4"/>
    <w:rsid w:val="003F5B83"/>
    <w:rsid w:val="003F69D2"/>
    <w:rsid w:val="00400FCB"/>
    <w:rsid w:val="00402AF8"/>
    <w:rsid w:val="00403CFE"/>
    <w:rsid w:val="0040636B"/>
    <w:rsid w:val="0040665F"/>
    <w:rsid w:val="0040670A"/>
    <w:rsid w:val="004067FD"/>
    <w:rsid w:val="0041257E"/>
    <w:rsid w:val="00412FE7"/>
    <w:rsid w:val="004136FD"/>
    <w:rsid w:val="004138DC"/>
    <w:rsid w:val="00413B2F"/>
    <w:rsid w:val="00413F2A"/>
    <w:rsid w:val="00415F58"/>
    <w:rsid w:val="00416083"/>
    <w:rsid w:val="00416467"/>
    <w:rsid w:val="00416C85"/>
    <w:rsid w:val="004172C6"/>
    <w:rsid w:val="004178A5"/>
    <w:rsid w:val="00422887"/>
    <w:rsid w:val="004229C5"/>
    <w:rsid w:val="00422E10"/>
    <w:rsid w:val="004232EA"/>
    <w:rsid w:val="0042355E"/>
    <w:rsid w:val="004242FF"/>
    <w:rsid w:val="00424499"/>
    <w:rsid w:val="0042556D"/>
    <w:rsid w:val="00426E71"/>
    <w:rsid w:val="00426F7D"/>
    <w:rsid w:val="00427C78"/>
    <w:rsid w:val="004305D2"/>
    <w:rsid w:val="0043520F"/>
    <w:rsid w:val="004375A9"/>
    <w:rsid w:val="00440FA2"/>
    <w:rsid w:val="00443252"/>
    <w:rsid w:val="00443CF5"/>
    <w:rsid w:val="004449AB"/>
    <w:rsid w:val="00444A2C"/>
    <w:rsid w:val="00444A93"/>
    <w:rsid w:val="00445069"/>
    <w:rsid w:val="00445167"/>
    <w:rsid w:val="00445763"/>
    <w:rsid w:val="00445946"/>
    <w:rsid w:val="004459A5"/>
    <w:rsid w:val="00446A58"/>
    <w:rsid w:val="00447041"/>
    <w:rsid w:val="00447268"/>
    <w:rsid w:val="0045018A"/>
    <w:rsid w:val="00450CB0"/>
    <w:rsid w:val="004513D7"/>
    <w:rsid w:val="00453DB9"/>
    <w:rsid w:val="0045402F"/>
    <w:rsid w:val="00455DA0"/>
    <w:rsid w:val="004564E8"/>
    <w:rsid w:val="0045728C"/>
    <w:rsid w:val="0045732F"/>
    <w:rsid w:val="00457817"/>
    <w:rsid w:val="00457B3B"/>
    <w:rsid w:val="00457E63"/>
    <w:rsid w:val="00457FC5"/>
    <w:rsid w:val="00460CD9"/>
    <w:rsid w:val="00461B9E"/>
    <w:rsid w:val="00462757"/>
    <w:rsid w:val="00462C17"/>
    <w:rsid w:val="00463244"/>
    <w:rsid w:val="00465B56"/>
    <w:rsid w:val="00465F67"/>
    <w:rsid w:val="00466A2B"/>
    <w:rsid w:val="00467564"/>
    <w:rsid w:val="004730D5"/>
    <w:rsid w:val="004737B7"/>
    <w:rsid w:val="00473DF2"/>
    <w:rsid w:val="00474784"/>
    <w:rsid w:val="0047560E"/>
    <w:rsid w:val="004759D4"/>
    <w:rsid w:val="00475D65"/>
    <w:rsid w:val="0047692B"/>
    <w:rsid w:val="004775B2"/>
    <w:rsid w:val="00477D45"/>
    <w:rsid w:val="0048042A"/>
    <w:rsid w:val="00480820"/>
    <w:rsid w:val="004812FF"/>
    <w:rsid w:val="00481FBA"/>
    <w:rsid w:val="00482043"/>
    <w:rsid w:val="00482119"/>
    <w:rsid w:val="0048225F"/>
    <w:rsid w:val="00483438"/>
    <w:rsid w:val="00483B41"/>
    <w:rsid w:val="00485CA4"/>
    <w:rsid w:val="00486E9F"/>
    <w:rsid w:val="00487781"/>
    <w:rsid w:val="0048790A"/>
    <w:rsid w:val="00487926"/>
    <w:rsid w:val="004902BF"/>
    <w:rsid w:val="0049043A"/>
    <w:rsid w:val="00490E76"/>
    <w:rsid w:val="004912B5"/>
    <w:rsid w:val="00493610"/>
    <w:rsid w:val="00493721"/>
    <w:rsid w:val="00494549"/>
    <w:rsid w:val="00495186"/>
    <w:rsid w:val="004952A0"/>
    <w:rsid w:val="004979D0"/>
    <w:rsid w:val="004A0C2B"/>
    <w:rsid w:val="004A0DF9"/>
    <w:rsid w:val="004A1DDF"/>
    <w:rsid w:val="004A1FDB"/>
    <w:rsid w:val="004A4E4C"/>
    <w:rsid w:val="004A5348"/>
    <w:rsid w:val="004A549F"/>
    <w:rsid w:val="004A5C23"/>
    <w:rsid w:val="004A5DC1"/>
    <w:rsid w:val="004A77C9"/>
    <w:rsid w:val="004A7AEB"/>
    <w:rsid w:val="004B1F34"/>
    <w:rsid w:val="004B3568"/>
    <w:rsid w:val="004B4444"/>
    <w:rsid w:val="004B54F9"/>
    <w:rsid w:val="004B5AC2"/>
    <w:rsid w:val="004B763E"/>
    <w:rsid w:val="004C0BE5"/>
    <w:rsid w:val="004C0FD5"/>
    <w:rsid w:val="004C1CB0"/>
    <w:rsid w:val="004C1F2E"/>
    <w:rsid w:val="004C24CC"/>
    <w:rsid w:val="004C3E55"/>
    <w:rsid w:val="004C3EE9"/>
    <w:rsid w:val="004C473B"/>
    <w:rsid w:val="004C48FF"/>
    <w:rsid w:val="004C66BC"/>
    <w:rsid w:val="004C6D99"/>
    <w:rsid w:val="004C70BA"/>
    <w:rsid w:val="004C745C"/>
    <w:rsid w:val="004D3568"/>
    <w:rsid w:val="004D4B9B"/>
    <w:rsid w:val="004D5BAC"/>
    <w:rsid w:val="004D77A1"/>
    <w:rsid w:val="004D7ACE"/>
    <w:rsid w:val="004E0CB0"/>
    <w:rsid w:val="004E0D75"/>
    <w:rsid w:val="004E5C6D"/>
    <w:rsid w:val="004E6738"/>
    <w:rsid w:val="004E7103"/>
    <w:rsid w:val="004F1A41"/>
    <w:rsid w:val="004F2CE7"/>
    <w:rsid w:val="004F304B"/>
    <w:rsid w:val="004F4577"/>
    <w:rsid w:val="004F5EB5"/>
    <w:rsid w:val="004F7D3A"/>
    <w:rsid w:val="0050035B"/>
    <w:rsid w:val="00501638"/>
    <w:rsid w:val="005022CD"/>
    <w:rsid w:val="0050247B"/>
    <w:rsid w:val="00504976"/>
    <w:rsid w:val="00505C11"/>
    <w:rsid w:val="0050603A"/>
    <w:rsid w:val="005070A7"/>
    <w:rsid w:val="00510A0F"/>
    <w:rsid w:val="00511304"/>
    <w:rsid w:val="00511ABB"/>
    <w:rsid w:val="00514910"/>
    <w:rsid w:val="005150E1"/>
    <w:rsid w:val="005156C7"/>
    <w:rsid w:val="00517423"/>
    <w:rsid w:val="005204EB"/>
    <w:rsid w:val="00520568"/>
    <w:rsid w:val="00520D91"/>
    <w:rsid w:val="00521076"/>
    <w:rsid w:val="0052314A"/>
    <w:rsid w:val="00524BFB"/>
    <w:rsid w:val="00525264"/>
    <w:rsid w:val="00525451"/>
    <w:rsid w:val="005263A4"/>
    <w:rsid w:val="005264EB"/>
    <w:rsid w:val="005267A7"/>
    <w:rsid w:val="005269FB"/>
    <w:rsid w:val="00526B7C"/>
    <w:rsid w:val="0053016C"/>
    <w:rsid w:val="005307E6"/>
    <w:rsid w:val="00530C4B"/>
    <w:rsid w:val="0053167F"/>
    <w:rsid w:val="00534332"/>
    <w:rsid w:val="005350C8"/>
    <w:rsid w:val="0053587A"/>
    <w:rsid w:val="005371A2"/>
    <w:rsid w:val="0054345D"/>
    <w:rsid w:val="0054398B"/>
    <w:rsid w:val="005451EC"/>
    <w:rsid w:val="00546EAD"/>
    <w:rsid w:val="00546EAE"/>
    <w:rsid w:val="00547017"/>
    <w:rsid w:val="0055226A"/>
    <w:rsid w:val="005543B9"/>
    <w:rsid w:val="00554D63"/>
    <w:rsid w:val="00555D9C"/>
    <w:rsid w:val="00556F8C"/>
    <w:rsid w:val="00560682"/>
    <w:rsid w:val="005606EA"/>
    <w:rsid w:val="005616D0"/>
    <w:rsid w:val="00561B17"/>
    <w:rsid w:val="00562355"/>
    <w:rsid w:val="005645EC"/>
    <w:rsid w:val="00566C93"/>
    <w:rsid w:val="0057053B"/>
    <w:rsid w:val="0057063D"/>
    <w:rsid w:val="00570EA4"/>
    <w:rsid w:val="005712CF"/>
    <w:rsid w:val="00580613"/>
    <w:rsid w:val="00580C0B"/>
    <w:rsid w:val="005817DD"/>
    <w:rsid w:val="00582E92"/>
    <w:rsid w:val="0058311B"/>
    <w:rsid w:val="0058337F"/>
    <w:rsid w:val="00584040"/>
    <w:rsid w:val="005850BF"/>
    <w:rsid w:val="00585B5E"/>
    <w:rsid w:val="00586BAD"/>
    <w:rsid w:val="00590B89"/>
    <w:rsid w:val="00594285"/>
    <w:rsid w:val="0059629F"/>
    <w:rsid w:val="00597111"/>
    <w:rsid w:val="005A01D0"/>
    <w:rsid w:val="005A037E"/>
    <w:rsid w:val="005A1BB6"/>
    <w:rsid w:val="005A39E9"/>
    <w:rsid w:val="005A41CB"/>
    <w:rsid w:val="005A56D3"/>
    <w:rsid w:val="005A57BC"/>
    <w:rsid w:val="005A60D7"/>
    <w:rsid w:val="005A6F3C"/>
    <w:rsid w:val="005B0DE8"/>
    <w:rsid w:val="005B17A5"/>
    <w:rsid w:val="005B19F8"/>
    <w:rsid w:val="005B1A20"/>
    <w:rsid w:val="005B2134"/>
    <w:rsid w:val="005B300D"/>
    <w:rsid w:val="005B53F3"/>
    <w:rsid w:val="005B5B06"/>
    <w:rsid w:val="005B6B6D"/>
    <w:rsid w:val="005B6BB5"/>
    <w:rsid w:val="005B71BF"/>
    <w:rsid w:val="005C034D"/>
    <w:rsid w:val="005C1023"/>
    <w:rsid w:val="005C1E08"/>
    <w:rsid w:val="005C237A"/>
    <w:rsid w:val="005C2578"/>
    <w:rsid w:val="005C3DA2"/>
    <w:rsid w:val="005C4637"/>
    <w:rsid w:val="005C66AC"/>
    <w:rsid w:val="005C68CF"/>
    <w:rsid w:val="005C7316"/>
    <w:rsid w:val="005C7EAB"/>
    <w:rsid w:val="005D2C38"/>
    <w:rsid w:val="005D377D"/>
    <w:rsid w:val="005D3785"/>
    <w:rsid w:val="005D38BC"/>
    <w:rsid w:val="005D54C2"/>
    <w:rsid w:val="005D5835"/>
    <w:rsid w:val="005D58FB"/>
    <w:rsid w:val="005D5AA6"/>
    <w:rsid w:val="005D6A38"/>
    <w:rsid w:val="005E054D"/>
    <w:rsid w:val="005E062F"/>
    <w:rsid w:val="005E0635"/>
    <w:rsid w:val="005E2860"/>
    <w:rsid w:val="005E39CF"/>
    <w:rsid w:val="005E3EB9"/>
    <w:rsid w:val="005E5BBC"/>
    <w:rsid w:val="005E66F2"/>
    <w:rsid w:val="005E70A3"/>
    <w:rsid w:val="005E7310"/>
    <w:rsid w:val="005F0677"/>
    <w:rsid w:val="005F0EC5"/>
    <w:rsid w:val="005F0FFC"/>
    <w:rsid w:val="005F2094"/>
    <w:rsid w:val="005F2ABE"/>
    <w:rsid w:val="005F7578"/>
    <w:rsid w:val="0060135F"/>
    <w:rsid w:val="0060182D"/>
    <w:rsid w:val="00601B78"/>
    <w:rsid w:val="00602568"/>
    <w:rsid w:val="00603218"/>
    <w:rsid w:val="006036C3"/>
    <w:rsid w:val="006055AE"/>
    <w:rsid w:val="00607A7F"/>
    <w:rsid w:val="006101E8"/>
    <w:rsid w:val="00610A52"/>
    <w:rsid w:val="00610E41"/>
    <w:rsid w:val="00610F1D"/>
    <w:rsid w:val="00612463"/>
    <w:rsid w:val="00612CC0"/>
    <w:rsid w:val="00613CA5"/>
    <w:rsid w:val="00614B2E"/>
    <w:rsid w:val="006157B1"/>
    <w:rsid w:val="0061597E"/>
    <w:rsid w:val="00617007"/>
    <w:rsid w:val="0062233F"/>
    <w:rsid w:val="00623DC1"/>
    <w:rsid w:val="00625013"/>
    <w:rsid w:val="00625C0E"/>
    <w:rsid w:val="006315B4"/>
    <w:rsid w:val="006333F5"/>
    <w:rsid w:val="00635F20"/>
    <w:rsid w:val="0063616F"/>
    <w:rsid w:val="0063621E"/>
    <w:rsid w:val="00636971"/>
    <w:rsid w:val="006375F7"/>
    <w:rsid w:val="006413E0"/>
    <w:rsid w:val="006415D8"/>
    <w:rsid w:val="00643208"/>
    <w:rsid w:val="006432BD"/>
    <w:rsid w:val="006434A2"/>
    <w:rsid w:val="006446B7"/>
    <w:rsid w:val="006446C9"/>
    <w:rsid w:val="006450C2"/>
    <w:rsid w:val="00645B25"/>
    <w:rsid w:val="00647CC1"/>
    <w:rsid w:val="006501D9"/>
    <w:rsid w:val="006523C6"/>
    <w:rsid w:val="00652EF7"/>
    <w:rsid w:val="00653FFC"/>
    <w:rsid w:val="00655D8E"/>
    <w:rsid w:val="006562E7"/>
    <w:rsid w:val="00660CFE"/>
    <w:rsid w:val="006629C7"/>
    <w:rsid w:val="006638C2"/>
    <w:rsid w:val="00664BE7"/>
    <w:rsid w:val="00665360"/>
    <w:rsid w:val="00666587"/>
    <w:rsid w:val="006727A4"/>
    <w:rsid w:val="006730DF"/>
    <w:rsid w:val="00673633"/>
    <w:rsid w:val="00674093"/>
    <w:rsid w:val="006748B9"/>
    <w:rsid w:val="00674C73"/>
    <w:rsid w:val="00675BAD"/>
    <w:rsid w:val="00677B64"/>
    <w:rsid w:val="00680959"/>
    <w:rsid w:val="00681048"/>
    <w:rsid w:val="00681857"/>
    <w:rsid w:val="00682B63"/>
    <w:rsid w:val="00683907"/>
    <w:rsid w:val="006853C9"/>
    <w:rsid w:val="00685630"/>
    <w:rsid w:val="00693383"/>
    <w:rsid w:val="00694695"/>
    <w:rsid w:val="00694E53"/>
    <w:rsid w:val="0069500C"/>
    <w:rsid w:val="00696541"/>
    <w:rsid w:val="006965B0"/>
    <w:rsid w:val="00696FC7"/>
    <w:rsid w:val="006970C6"/>
    <w:rsid w:val="00697BA3"/>
    <w:rsid w:val="006A3AA3"/>
    <w:rsid w:val="006A4B47"/>
    <w:rsid w:val="006A50D6"/>
    <w:rsid w:val="006A6AC0"/>
    <w:rsid w:val="006A70FD"/>
    <w:rsid w:val="006B001C"/>
    <w:rsid w:val="006B19B4"/>
    <w:rsid w:val="006B22E5"/>
    <w:rsid w:val="006B32F1"/>
    <w:rsid w:val="006B48BB"/>
    <w:rsid w:val="006C1410"/>
    <w:rsid w:val="006C26C9"/>
    <w:rsid w:val="006C272D"/>
    <w:rsid w:val="006C2D85"/>
    <w:rsid w:val="006C48A1"/>
    <w:rsid w:val="006C5623"/>
    <w:rsid w:val="006C5809"/>
    <w:rsid w:val="006C6732"/>
    <w:rsid w:val="006C7E1D"/>
    <w:rsid w:val="006D1A11"/>
    <w:rsid w:val="006D1A9A"/>
    <w:rsid w:val="006D3692"/>
    <w:rsid w:val="006D3772"/>
    <w:rsid w:val="006D4E20"/>
    <w:rsid w:val="006D549E"/>
    <w:rsid w:val="006D564F"/>
    <w:rsid w:val="006D5907"/>
    <w:rsid w:val="006D6CB7"/>
    <w:rsid w:val="006D770E"/>
    <w:rsid w:val="006D7924"/>
    <w:rsid w:val="006D7D04"/>
    <w:rsid w:val="006E12EE"/>
    <w:rsid w:val="006E34F5"/>
    <w:rsid w:val="006E4225"/>
    <w:rsid w:val="006E4F2B"/>
    <w:rsid w:val="006E5EE7"/>
    <w:rsid w:val="006E6966"/>
    <w:rsid w:val="006F04FE"/>
    <w:rsid w:val="006F0E10"/>
    <w:rsid w:val="006F1628"/>
    <w:rsid w:val="006F19D8"/>
    <w:rsid w:val="006F305B"/>
    <w:rsid w:val="006F373F"/>
    <w:rsid w:val="006F43F5"/>
    <w:rsid w:val="006F4DA8"/>
    <w:rsid w:val="006F4F72"/>
    <w:rsid w:val="006F4F83"/>
    <w:rsid w:val="006F5566"/>
    <w:rsid w:val="0070122B"/>
    <w:rsid w:val="007014BE"/>
    <w:rsid w:val="00702D92"/>
    <w:rsid w:val="007030D4"/>
    <w:rsid w:val="00703F4F"/>
    <w:rsid w:val="007042FB"/>
    <w:rsid w:val="00704D04"/>
    <w:rsid w:val="00705162"/>
    <w:rsid w:val="00705392"/>
    <w:rsid w:val="007069C6"/>
    <w:rsid w:val="007075EC"/>
    <w:rsid w:val="00711113"/>
    <w:rsid w:val="00711468"/>
    <w:rsid w:val="00711B18"/>
    <w:rsid w:val="00711B5C"/>
    <w:rsid w:val="007130D6"/>
    <w:rsid w:val="0071344E"/>
    <w:rsid w:val="00713767"/>
    <w:rsid w:val="00713CB5"/>
    <w:rsid w:val="00713E29"/>
    <w:rsid w:val="007152CF"/>
    <w:rsid w:val="00715658"/>
    <w:rsid w:val="00715F8A"/>
    <w:rsid w:val="00716505"/>
    <w:rsid w:val="007178AC"/>
    <w:rsid w:val="00717A0B"/>
    <w:rsid w:val="0072001A"/>
    <w:rsid w:val="007206D9"/>
    <w:rsid w:val="00720EB0"/>
    <w:rsid w:val="00720FA2"/>
    <w:rsid w:val="007222BB"/>
    <w:rsid w:val="007231DF"/>
    <w:rsid w:val="00723541"/>
    <w:rsid w:val="0072377F"/>
    <w:rsid w:val="00724125"/>
    <w:rsid w:val="00724A39"/>
    <w:rsid w:val="00724E5D"/>
    <w:rsid w:val="0072545B"/>
    <w:rsid w:val="007257D1"/>
    <w:rsid w:val="0072587F"/>
    <w:rsid w:val="00726A03"/>
    <w:rsid w:val="00726A16"/>
    <w:rsid w:val="00727845"/>
    <w:rsid w:val="0072786F"/>
    <w:rsid w:val="00730DCD"/>
    <w:rsid w:val="0073185F"/>
    <w:rsid w:val="007318EA"/>
    <w:rsid w:val="007325C2"/>
    <w:rsid w:val="00734847"/>
    <w:rsid w:val="00735747"/>
    <w:rsid w:val="00736058"/>
    <w:rsid w:val="00736669"/>
    <w:rsid w:val="00741729"/>
    <w:rsid w:val="0074210A"/>
    <w:rsid w:val="00742B5D"/>
    <w:rsid w:val="00743BFD"/>
    <w:rsid w:val="007440EA"/>
    <w:rsid w:val="00746B1D"/>
    <w:rsid w:val="0074706E"/>
    <w:rsid w:val="0074721E"/>
    <w:rsid w:val="00750434"/>
    <w:rsid w:val="00750F79"/>
    <w:rsid w:val="007530DF"/>
    <w:rsid w:val="007536C1"/>
    <w:rsid w:val="007538E1"/>
    <w:rsid w:val="00753D58"/>
    <w:rsid w:val="007549BC"/>
    <w:rsid w:val="00754BF1"/>
    <w:rsid w:val="00754E1F"/>
    <w:rsid w:val="007553DD"/>
    <w:rsid w:val="007554E3"/>
    <w:rsid w:val="00755F13"/>
    <w:rsid w:val="00755F5F"/>
    <w:rsid w:val="007619F5"/>
    <w:rsid w:val="007621A9"/>
    <w:rsid w:val="00762946"/>
    <w:rsid w:val="00762DF7"/>
    <w:rsid w:val="0076500E"/>
    <w:rsid w:val="007663B9"/>
    <w:rsid w:val="0077063A"/>
    <w:rsid w:val="0077073F"/>
    <w:rsid w:val="00770C42"/>
    <w:rsid w:val="00771017"/>
    <w:rsid w:val="00771D16"/>
    <w:rsid w:val="00772050"/>
    <w:rsid w:val="007767DC"/>
    <w:rsid w:val="00776FFC"/>
    <w:rsid w:val="007801DA"/>
    <w:rsid w:val="00780863"/>
    <w:rsid w:val="00784917"/>
    <w:rsid w:val="00785601"/>
    <w:rsid w:val="00785FD1"/>
    <w:rsid w:val="00786E93"/>
    <w:rsid w:val="007879BA"/>
    <w:rsid w:val="00787BB5"/>
    <w:rsid w:val="00790B9C"/>
    <w:rsid w:val="00790E37"/>
    <w:rsid w:val="0079285F"/>
    <w:rsid w:val="00793433"/>
    <w:rsid w:val="00794C0D"/>
    <w:rsid w:val="00794DC7"/>
    <w:rsid w:val="007979A5"/>
    <w:rsid w:val="007A1783"/>
    <w:rsid w:val="007A2464"/>
    <w:rsid w:val="007A2622"/>
    <w:rsid w:val="007A2C94"/>
    <w:rsid w:val="007A3904"/>
    <w:rsid w:val="007A4016"/>
    <w:rsid w:val="007A68B8"/>
    <w:rsid w:val="007A7EE3"/>
    <w:rsid w:val="007B0A53"/>
    <w:rsid w:val="007B0C1A"/>
    <w:rsid w:val="007B0DEB"/>
    <w:rsid w:val="007B1C9C"/>
    <w:rsid w:val="007B2072"/>
    <w:rsid w:val="007B28AC"/>
    <w:rsid w:val="007B5F31"/>
    <w:rsid w:val="007B677E"/>
    <w:rsid w:val="007B6E04"/>
    <w:rsid w:val="007C0205"/>
    <w:rsid w:val="007C1485"/>
    <w:rsid w:val="007C14DC"/>
    <w:rsid w:val="007C259E"/>
    <w:rsid w:val="007C38D0"/>
    <w:rsid w:val="007C39BA"/>
    <w:rsid w:val="007C53CF"/>
    <w:rsid w:val="007C562F"/>
    <w:rsid w:val="007C65C5"/>
    <w:rsid w:val="007C6E14"/>
    <w:rsid w:val="007C78C2"/>
    <w:rsid w:val="007C7918"/>
    <w:rsid w:val="007C794D"/>
    <w:rsid w:val="007D1A08"/>
    <w:rsid w:val="007D2441"/>
    <w:rsid w:val="007D2F94"/>
    <w:rsid w:val="007D3D12"/>
    <w:rsid w:val="007D6562"/>
    <w:rsid w:val="007D6886"/>
    <w:rsid w:val="007D726E"/>
    <w:rsid w:val="007D7D3C"/>
    <w:rsid w:val="007E0E63"/>
    <w:rsid w:val="007E156B"/>
    <w:rsid w:val="007E221F"/>
    <w:rsid w:val="007E2524"/>
    <w:rsid w:val="007E2547"/>
    <w:rsid w:val="007E271E"/>
    <w:rsid w:val="007E2FC1"/>
    <w:rsid w:val="007E4C42"/>
    <w:rsid w:val="007E599F"/>
    <w:rsid w:val="007E59C0"/>
    <w:rsid w:val="007E7177"/>
    <w:rsid w:val="007E769E"/>
    <w:rsid w:val="007F1641"/>
    <w:rsid w:val="007F1B07"/>
    <w:rsid w:val="007F472D"/>
    <w:rsid w:val="007F5BAB"/>
    <w:rsid w:val="007F630B"/>
    <w:rsid w:val="007F7779"/>
    <w:rsid w:val="008013A1"/>
    <w:rsid w:val="0080405B"/>
    <w:rsid w:val="00807A89"/>
    <w:rsid w:val="00810628"/>
    <w:rsid w:val="008112B8"/>
    <w:rsid w:val="00811F4B"/>
    <w:rsid w:val="00812376"/>
    <w:rsid w:val="00813261"/>
    <w:rsid w:val="0081371A"/>
    <w:rsid w:val="00814276"/>
    <w:rsid w:val="008148AD"/>
    <w:rsid w:val="00815B77"/>
    <w:rsid w:val="0081623E"/>
    <w:rsid w:val="008168E6"/>
    <w:rsid w:val="00817418"/>
    <w:rsid w:val="00817474"/>
    <w:rsid w:val="008201DB"/>
    <w:rsid w:val="00820AE3"/>
    <w:rsid w:val="008211C8"/>
    <w:rsid w:val="008212A0"/>
    <w:rsid w:val="00821D13"/>
    <w:rsid w:val="00821DF1"/>
    <w:rsid w:val="00822563"/>
    <w:rsid w:val="00823228"/>
    <w:rsid w:val="00824AFF"/>
    <w:rsid w:val="00825D97"/>
    <w:rsid w:val="00830DA9"/>
    <w:rsid w:val="008326BD"/>
    <w:rsid w:val="00835C5B"/>
    <w:rsid w:val="00835FF0"/>
    <w:rsid w:val="00840309"/>
    <w:rsid w:val="0084050C"/>
    <w:rsid w:val="00840B89"/>
    <w:rsid w:val="00841D72"/>
    <w:rsid w:val="00842BAC"/>
    <w:rsid w:val="00842D3F"/>
    <w:rsid w:val="00842D62"/>
    <w:rsid w:val="00845884"/>
    <w:rsid w:val="00846A13"/>
    <w:rsid w:val="00846DE2"/>
    <w:rsid w:val="00847CFC"/>
    <w:rsid w:val="0085123D"/>
    <w:rsid w:val="008525FC"/>
    <w:rsid w:val="00852E08"/>
    <w:rsid w:val="00854A4C"/>
    <w:rsid w:val="0085586A"/>
    <w:rsid w:val="00856BC2"/>
    <w:rsid w:val="00861FE2"/>
    <w:rsid w:val="00862EF8"/>
    <w:rsid w:val="0086460B"/>
    <w:rsid w:val="00864620"/>
    <w:rsid w:val="00864FAE"/>
    <w:rsid w:val="00867B84"/>
    <w:rsid w:val="00870039"/>
    <w:rsid w:val="00870977"/>
    <w:rsid w:val="00872B2A"/>
    <w:rsid w:val="00873465"/>
    <w:rsid w:val="00876B66"/>
    <w:rsid w:val="00877277"/>
    <w:rsid w:val="008778E6"/>
    <w:rsid w:val="008779A3"/>
    <w:rsid w:val="008826E7"/>
    <w:rsid w:val="00882DA1"/>
    <w:rsid w:val="00884888"/>
    <w:rsid w:val="008851EF"/>
    <w:rsid w:val="008855A6"/>
    <w:rsid w:val="00887275"/>
    <w:rsid w:val="008906BB"/>
    <w:rsid w:val="00891701"/>
    <w:rsid w:val="00891D52"/>
    <w:rsid w:val="008920E2"/>
    <w:rsid w:val="008927A0"/>
    <w:rsid w:val="00892B5C"/>
    <w:rsid w:val="00892EDF"/>
    <w:rsid w:val="00893803"/>
    <w:rsid w:val="00893887"/>
    <w:rsid w:val="0089550E"/>
    <w:rsid w:val="00896E25"/>
    <w:rsid w:val="00897563"/>
    <w:rsid w:val="008A14ED"/>
    <w:rsid w:val="008A1C41"/>
    <w:rsid w:val="008A203A"/>
    <w:rsid w:val="008A3241"/>
    <w:rsid w:val="008A36BD"/>
    <w:rsid w:val="008A3AE3"/>
    <w:rsid w:val="008A3F35"/>
    <w:rsid w:val="008A567A"/>
    <w:rsid w:val="008A64CB"/>
    <w:rsid w:val="008B08E7"/>
    <w:rsid w:val="008B0D6D"/>
    <w:rsid w:val="008B1438"/>
    <w:rsid w:val="008B2E3E"/>
    <w:rsid w:val="008B350D"/>
    <w:rsid w:val="008B37F4"/>
    <w:rsid w:val="008B4A75"/>
    <w:rsid w:val="008B52D3"/>
    <w:rsid w:val="008B658C"/>
    <w:rsid w:val="008C0377"/>
    <w:rsid w:val="008C0B55"/>
    <w:rsid w:val="008C0CFE"/>
    <w:rsid w:val="008C10C6"/>
    <w:rsid w:val="008C1EEC"/>
    <w:rsid w:val="008C2F7A"/>
    <w:rsid w:val="008C3F9E"/>
    <w:rsid w:val="008C44EC"/>
    <w:rsid w:val="008C549C"/>
    <w:rsid w:val="008C6E0F"/>
    <w:rsid w:val="008C7042"/>
    <w:rsid w:val="008D185E"/>
    <w:rsid w:val="008D3D2E"/>
    <w:rsid w:val="008D6853"/>
    <w:rsid w:val="008D7D24"/>
    <w:rsid w:val="008D7D5A"/>
    <w:rsid w:val="008E0A1A"/>
    <w:rsid w:val="008E0F73"/>
    <w:rsid w:val="008E14C7"/>
    <w:rsid w:val="008E432E"/>
    <w:rsid w:val="008E4C2F"/>
    <w:rsid w:val="008E667B"/>
    <w:rsid w:val="008E6C52"/>
    <w:rsid w:val="008E7659"/>
    <w:rsid w:val="008F0A40"/>
    <w:rsid w:val="008F203D"/>
    <w:rsid w:val="008F27D5"/>
    <w:rsid w:val="008F3FDB"/>
    <w:rsid w:val="008F5F75"/>
    <w:rsid w:val="008F68C5"/>
    <w:rsid w:val="008F69B4"/>
    <w:rsid w:val="008F6AF2"/>
    <w:rsid w:val="008F75E4"/>
    <w:rsid w:val="008F7C99"/>
    <w:rsid w:val="008F7EF5"/>
    <w:rsid w:val="009021F2"/>
    <w:rsid w:val="009022C7"/>
    <w:rsid w:val="00905555"/>
    <w:rsid w:val="009056B1"/>
    <w:rsid w:val="009057A6"/>
    <w:rsid w:val="00906289"/>
    <w:rsid w:val="00911043"/>
    <w:rsid w:val="009112F0"/>
    <w:rsid w:val="009128D2"/>
    <w:rsid w:val="00914878"/>
    <w:rsid w:val="00914C28"/>
    <w:rsid w:val="00914CCD"/>
    <w:rsid w:val="00915FF1"/>
    <w:rsid w:val="00916789"/>
    <w:rsid w:val="0091731A"/>
    <w:rsid w:val="00917824"/>
    <w:rsid w:val="0092109A"/>
    <w:rsid w:val="00921A66"/>
    <w:rsid w:val="00921B9A"/>
    <w:rsid w:val="009223C3"/>
    <w:rsid w:val="009223E1"/>
    <w:rsid w:val="00923C35"/>
    <w:rsid w:val="009242CD"/>
    <w:rsid w:val="009256F6"/>
    <w:rsid w:val="00925F01"/>
    <w:rsid w:val="00926596"/>
    <w:rsid w:val="0092669A"/>
    <w:rsid w:val="00926860"/>
    <w:rsid w:val="0092742A"/>
    <w:rsid w:val="00927459"/>
    <w:rsid w:val="0093106A"/>
    <w:rsid w:val="00931109"/>
    <w:rsid w:val="00931B0D"/>
    <w:rsid w:val="009334CB"/>
    <w:rsid w:val="00933B81"/>
    <w:rsid w:val="00934749"/>
    <w:rsid w:val="00934F50"/>
    <w:rsid w:val="00934F76"/>
    <w:rsid w:val="00935A7F"/>
    <w:rsid w:val="00940C75"/>
    <w:rsid w:val="009412BE"/>
    <w:rsid w:val="009437FD"/>
    <w:rsid w:val="0094537D"/>
    <w:rsid w:val="009466D2"/>
    <w:rsid w:val="00946AC8"/>
    <w:rsid w:val="009500EB"/>
    <w:rsid w:val="00952F13"/>
    <w:rsid w:val="0095453E"/>
    <w:rsid w:val="00955CEA"/>
    <w:rsid w:val="00962195"/>
    <w:rsid w:val="0096476C"/>
    <w:rsid w:val="00965A3A"/>
    <w:rsid w:val="009661CA"/>
    <w:rsid w:val="009672C9"/>
    <w:rsid w:val="0097222C"/>
    <w:rsid w:val="00972EA4"/>
    <w:rsid w:val="00972F17"/>
    <w:rsid w:val="0097420B"/>
    <w:rsid w:val="00977414"/>
    <w:rsid w:val="0098169C"/>
    <w:rsid w:val="00982FD4"/>
    <w:rsid w:val="0098674E"/>
    <w:rsid w:val="00986906"/>
    <w:rsid w:val="00986E31"/>
    <w:rsid w:val="009873EC"/>
    <w:rsid w:val="00987D9C"/>
    <w:rsid w:val="00990ADC"/>
    <w:rsid w:val="00991DB8"/>
    <w:rsid w:val="00992329"/>
    <w:rsid w:val="00992469"/>
    <w:rsid w:val="00992695"/>
    <w:rsid w:val="00993079"/>
    <w:rsid w:val="00993450"/>
    <w:rsid w:val="0099589D"/>
    <w:rsid w:val="00995EBF"/>
    <w:rsid w:val="00996843"/>
    <w:rsid w:val="009969A3"/>
    <w:rsid w:val="009A280A"/>
    <w:rsid w:val="009A4004"/>
    <w:rsid w:val="009A533D"/>
    <w:rsid w:val="009A6ECA"/>
    <w:rsid w:val="009A7370"/>
    <w:rsid w:val="009A7BCA"/>
    <w:rsid w:val="009B1E9E"/>
    <w:rsid w:val="009B2913"/>
    <w:rsid w:val="009B2F89"/>
    <w:rsid w:val="009B30FF"/>
    <w:rsid w:val="009B3C6B"/>
    <w:rsid w:val="009B6DFC"/>
    <w:rsid w:val="009B765C"/>
    <w:rsid w:val="009C01AC"/>
    <w:rsid w:val="009C077D"/>
    <w:rsid w:val="009C1F33"/>
    <w:rsid w:val="009C4FEC"/>
    <w:rsid w:val="009C5181"/>
    <w:rsid w:val="009C595D"/>
    <w:rsid w:val="009C5EEB"/>
    <w:rsid w:val="009D18CF"/>
    <w:rsid w:val="009D2869"/>
    <w:rsid w:val="009D3E36"/>
    <w:rsid w:val="009D484B"/>
    <w:rsid w:val="009D48A6"/>
    <w:rsid w:val="009D656F"/>
    <w:rsid w:val="009D69E0"/>
    <w:rsid w:val="009E03E4"/>
    <w:rsid w:val="009E1DE3"/>
    <w:rsid w:val="009E213E"/>
    <w:rsid w:val="009E29D7"/>
    <w:rsid w:val="009E2F9F"/>
    <w:rsid w:val="009E4963"/>
    <w:rsid w:val="009E5726"/>
    <w:rsid w:val="009E6703"/>
    <w:rsid w:val="009E685A"/>
    <w:rsid w:val="009E6C4F"/>
    <w:rsid w:val="009E75C0"/>
    <w:rsid w:val="009E7934"/>
    <w:rsid w:val="009F2A08"/>
    <w:rsid w:val="009F2B2F"/>
    <w:rsid w:val="009F3064"/>
    <w:rsid w:val="009F4970"/>
    <w:rsid w:val="009F5A8D"/>
    <w:rsid w:val="009F6DA9"/>
    <w:rsid w:val="009F712E"/>
    <w:rsid w:val="009F7612"/>
    <w:rsid w:val="00A00C6B"/>
    <w:rsid w:val="00A0149F"/>
    <w:rsid w:val="00A01EE2"/>
    <w:rsid w:val="00A02027"/>
    <w:rsid w:val="00A02DFF"/>
    <w:rsid w:val="00A0629A"/>
    <w:rsid w:val="00A06B14"/>
    <w:rsid w:val="00A07186"/>
    <w:rsid w:val="00A10B0C"/>
    <w:rsid w:val="00A10EFC"/>
    <w:rsid w:val="00A1190E"/>
    <w:rsid w:val="00A12911"/>
    <w:rsid w:val="00A14D0A"/>
    <w:rsid w:val="00A15FE2"/>
    <w:rsid w:val="00A16BF0"/>
    <w:rsid w:val="00A16DD3"/>
    <w:rsid w:val="00A16EFA"/>
    <w:rsid w:val="00A1796B"/>
    <w:rsid w:val="00A204B8"/>
    <w:rsid w:val="00A205DF"/>
    <w:rsid w:val="00A206B0"/>
    <w:rsid w:val="00A20945"/>
    <w:rsid w:val="00A2188E"/>
    <w:rsid w:val="00A23446"/>
    <w:rsid w:val="00A23CFB"/>
    <w:rsid w:val="00A26E5B"/>
    <w:rsid w:val="00A27913"/>
    <w:rsid w:val="00A27FC4"/>
    <w:rsid w:val="00A30A24"/>
    <w:rsid w:val="00A31768"/>
    <w:rsid w:val="00A323DD"/>
    <w:rsid w:val="00A3283A"/>
    <w:rsid w:val="00A32998"/>
    <w:rsid w:val="00A337B1"/>
    <w:rsid w:val="00A33A74"/>
    <w:rsid w:val="00A34BA0"/>
    <w:rsid w:val="00A35253"/>
    <w:rsid w:val="00A35B90"/>
    <w:rsid w:val="00A377A6"/>
    <w:rsid w:val="00A37AD8"/>
    <w:rsid w:val="00A400E9"/>
    <w:rsid w:val="00A40302"/>
    <w:rsid w:val="00A42442"/>
    <w:rsid w:val="00A427DC"/>
    <w:rsid w:val="00A433BE"/>
    <w:rsid w:val="00A44837"/>
    <w:rsid w:val="00A44B10"/>
    <w:rsid w:val="00A46E4B"/>
    <w:rsid w:val="00A47B0D"/>
    <w:rsid w:val="00A50BD5"/>
    <w:rsid w:val="00A525BF"/>
    <w:rsid w:val="00A5392F"/>
    <w:rsid w:val="00A5473C"/>
    <w:rsid w:val="00A55428"/>
    <w:rsid w:val="00A55AEF"/>
    <w:rsid w:val="00A60C96"/>
    <w:rsid w:val="00A62158"/>
    <w:rsid w:val="00A66EBF"/>
    <w:rsid w:val="00A67615"/>
    <w:rsid w:val="00A67D3F"/>
    <w:rsid w:val="00A67E7F"/>
    <w:rsid w:val="00A72F3F"/>
    <w:rsid w:val="00A73661"/>
    <w:rsid w:val="00A7468B"/>
    <w:rsid w:val="00A74A25"/>
    <w:rsid w:val="00A7623C"/>
    <w:rsid w:val="00A7686E"/>
    <w:rsid w:val="00A77A94"/>
    <w:rsid w:val="00A810BD"/>
    <w:rsid w:val="00A81602"/>
    <w:rsid w:val="00A827F6"/>
    <w:rsid w:val="00A82F91"/>
    <w:rsid w:val="00A8375E"/>
    <w:rsid w:val="00A83E16"/>
    <w:rsid w:val="00A83F08"/>
    <w:rsid w:val="00A87606"/>
    <w:rsid w:val="00A92655"/>
    <w:rsid w:val="00A937D8"/>
    <w:rsid w:val="00A9419E"/>
    <w:rsid w:val="00A96559"/>
    <w:rsid w:val="00A96EAC"/>
    <w:rsid w:val="00AA010E"/>
    <w:rsid w:val="00AA1954"/>
    <w:rsid w:val="00AA2AAD"/>
    <w:rsid w:val="00AA3239"/>
    <w:rsid w:val="00AA4D8C"/>
    <w:rsid w:val="00AA5954"/>
    <w:rsid w:val="00AA6F66"/>
    <w:rsid w:val="00AB09CC"/>
    <w:rsid w:val="00AB2B32"/>
    <w:rsid w:val="00AB2DB4"/>
    <w:rsid w:val="00AB3A16"/>
    <w:rsid w:val="00AB4927"/>
    <w:rsid w:val="00AB4E34"/>
    <w:rsid w:val="00AB658C"/>
    <w:rsid w:val="00AB761B"/>
    <w:rsid w:val="00AC33C8"/>
    <w:rsid w:val="00AC4DFA"/>
    <w:rsid w:val="00AC73E3"/>
    <w:rsid w:val="00AD210B"/>
    <w:rsid w:val="00AD2605"/>
    <w:rsid w:val="00AD2D43"/>
    <w:rsid w:val="00AD33AF"/>
    <w:rsid w:val="00AD360B"/>
    <w:rsid w:val="00AD5D62"/>
    <w:rsid w:val="00AD6D7B"/>
    <w:rsid w:val="00AD73D2"/>
    <w:rsid w:val="00AD7699"/>
    <w:rsid w:val="00AD7E2B"/>
    <w:rsid w:val="00AE0077"/>
    <w:rsid w:val="00AE1E9F"/>
    <w:rsid w:val="00AE2692"/>
    <w:rsid w:val="00AE27AE"/>
    <w:rsid w:val="00AE4B35"/>
    <w:rsid w:val="00AE4E13"/>
    <w:rsid w:val="00AE5890"/>
    <w:rsid w:val="00AE6146"/>
    <w:rsid w:val="00AE653E"/>
    <w:rsid w:val="00AE72A1"/>
    <w:rsid w:val="00AE7990"/>
    <w:rsid w:val="00AF0001"/>
    <w:rsid w:val="00AF0C1E"/>
    <w:rsid w:val="00AF590B"/>
    <w:rsid w:val="00AF5E39"/>
    <w:rsid w:val="00AF635F"/>
    <w:rsid w:val="00AF74BD"/>
    <w:rsid w:val="00B002BB"/>
    <w:rsid w:val="00B00A2F"/>
    <w:rsid w:val="00B0195A"/>
    <w:rsid w:val="00B01C17"/>
    <w:rsid w:val="00B02F26"/>
    <w:rsid w:val="00B04898"/>
    <w:rsid w:val="00B061D4"/>
    <w:rsid w:val="00B06FD8"/>
    <w:rsid w:val="00B07281"/>
    <w:rsid w:val="00B0743D"/>
    <w:rsid w:val="00B07CA1"/>
    <w:rsid w:val="00B10FA0"/>
    <w:rsid w:val="00B1128D"/>
    <w:rsid w:val="00B115B4"/>
    <w:rsid w:val="00B116D7"/>
    <w:rsid w:val="00B1237C"/>
    <w:rsid w:val="00B1298F"/>
    <w:rsid w:val="00B13231"/>
    <w:rsid w:val="00B13C9C"/>
    <w:rsid w:val="00B16E3E"/>
    <w:rsid w:val="00B170A7"/>
    <w:rsid w:val="00B2047C"/>
    <w:rsid w:val="00B209F3"/>
    <w:rsid w:val="00B24156"/>
    <w:rsid w:val="00B3138F"/>
    <w:rsid w:val="00B32545"/>
    <w:rsid w:val="00B32F2F"/>
    <w:rsid w:val="00B33477"/>
    <w:rsid w:val="00B3462A"/>
    <w:rsid w:val="00B34AF3"/>
    <w:rsid w:val="00B35C8C"/>
    <w:rsid w:val="00B35CC0"/>
    <w:rsid w:val="00B3621E"/>
    <w:rsid w:val="00B369FA"/>
    <w:rsid w:val="00B40612"/>
    <w:rsid w:val="00B41610"/>
    <w:rsid w:val="00B41791"/>
    <w:rsid w:val="00B424E6"/>
    <w:rsid w:val="00B42708"/>
    <w:rsid w:val="00B43603"/>
    <w:rsid w:val="00B436D5"/>
    <w:rsid w:val="00B43D30"/>
    <w:rsid w:val="00B447C1"/>
    <w:rsid w:val="00B44FCD"/>
    <w:rsid w:val="00B45A6F"/>
    <w:rsid w:val="00B46308"/>
    <w:rsid w:val="00B478FC"/>
    <w:rsid w:val="00B54456"/>
    <w:rsid w:val="00B55EB8"/>
    <w:rsid w:val="00B56335"/>
    <w:rsid w:val="00B56651"/>
    <w:rsid w:val="00B57C69"/>
    <w:rsid w:val="00B57D9C"/>
    <w:rsid w:val="00B6026D"/>
    <w:rsid w:val="00B6084E"/>
    <w:rsid w:val="00B60C2A"/>
    <w:rsid w:val="00B61F57"/>
    <w:rsid w:val="00B622EF"/>
    <w:rsid w:val="00B62C32"/>
    <w:rsid w:val="00B635ED"/>
    <w:rsid w:val="00B64658"/>
    <w:rsid w:val="00B655DA"/>
    <w:rsid w:val="00B66409"/>
    <w:rsid w:val="00B66947"/>
    <w:rsid w:val="00B6694E"/>
    <w:rsid w:val="00B66E42"/>
    <w:rsid w:val="00B6768B"/>
    <w:rsid w:val="00B708AA"/>
    <w:rsid w:val="00B7103F"/>
    <w:rsid w:val="00B71C43"/>
    <w:rsid w:val="00B72AF1"/>
    <w:rsid w:val="00B74DE7"/>
    <w:rsid w:val="00B74E11"/>
    <w:rsid w:val="00B75140"/>
    <w:rsid w:val="00B751AD"/>
    <w:rsid w:val="00B75A5F"/>
    <w:rsid w:val="00B77A66"/>
    <w:rsid w:val="00B77A88"/>
    <w:rsid w:val="00B77BA4"/>
    <w:rsid w:val="00B80476"/>
    <w:rsid w:val="00B81ABE"/>
    <w:rsid w:val="00B81DB9"/>
    <w:rsid w:val="00B82538"/>
    <w:rsid w:val="00B82794"/>
    <w:rsid w:val="00B82D25"/>
    <w:rsid w:val="00B82F85"/>
    <w:rsid w:val="00B841F1"/>
    <w:rsid w:val="00B84B1E"/>
    <w:rsid w:val="00B90881"/>
    <w:rsid w:val="00B9107D"/>
    <w:rsid w:val="00B91326"/>
    <w:rsid w:val="00B9374B"/>
    <w:rsid w:val="00B95D16"/>
    <w:rsid w:val="00B96A94"/>
    <w:rsid w:val="00B97B10"/>
    <w:rsid w:val="00BA0ECE"/>
    <w:rsid w:val="00BA387A"/>
    <w:rsid w:val="00BA4DF1"/>
    <w:rsid w:val="00BA77D0"/>
    <w:rsid w:val="00BA7CDA"/>
    <w:rsid w:val="00BB0BFC"/>
    <w:rsid w:val="00BB2979"/>
    <w:rsid w:val="00BB2993"/>
    <w:rsid w:val="00BB2EAC"/>
    <w:rsid w:val="00BB3271"/>
    <w:rsid w:val="00BB3512"/>
    <w:rsid w:val="00BB6844"/>
    <w:rsid w:val="00BC12A5"/>
    <w:rsid w:val="00BC1A00"/>
    <w:rsid w:val="00BC1E6C"/>
    <w:rsid w:val="00BC44D8"/>
    <w:rsid w:val="00BC4A3F"/>
    <w:rsid w:val="00BC56BE"/>
    <w:rsid w:val="00BC5EF0"/>
    <w:rsid w:val="00BC69E7"/>
    <w:rsid w:val="00BC7AD3"/>
    <w:rsid w:val="00BC7F0B"/>
    <w:rsid w:val="00BD048E"/>
    <w:rsid w:val="00BD06DD"/>
    <w:rsid w:val="00BD3251"/>
    <w:rsid w:val="00BD32A4"/>
    <w:rsid w:val="00BD3802"/>
    <w:rsid w:val="00BD458F"/>
    <w:rsid w:val="00BD7162"/>
    <w:rsid w:val="00BD7761"/>
    <w:rsid w:val="00BE2539"/>
    <w:rsid w:val="00BE2A9D"/>
    <w:rsid w:val="00BE69FE"/>
    <w:rsid w:val="00BE6BC2"/>
    <w:rsid w:val="00BE6C34"/>
    <w:rsid w:val="00BF1111"/>
    <w:rsid w:val="00BF1981"/>
    <w:rsid w:val="00BF236D"/>
    <w:rsid w:val="00BF2D03"/>
    <w:rsid w:val="00BF5A76"/>
    <w:rsid w:val="00BF5C57"/>
    <w:rsid w:val="00BF6464"/>
    <w:rsid w:val="00BF66BD"/>
    <w:rsid w:val="00BF6B9A"/>
    <w:rsid w:val="00C00EA2"/>
    <w:rsid w:val="00C05146"/>
    <w:rsid w:val="00C055B7"/>
    <w:rsid w:val="00C06538"/>
    <w:rsid w:val="00C108DC"/>
    <w:rsid w:val="00C117A4"/>
    <w:rsid w:val="00C1201C"/>
    <w:rsid w:val="00C129CE"/>
    <w:rsid w:val="00C12ABA"/>
    <w:rsid w:val="00C12CBD"/>
    <w:rsid w:val="00C13158"/>
    <w:rsid w:val="00C1329C"/>
    <w:rsid w:val="00C15636"/>
    <w:rsid w:val="00C15D4F"/>
    <w:rsid w:val="00C1619D"/>
    <w:rsid w:val="00C16B55"/>
    <w:rsid w:val="00C17543"/>
    <w:rsid w:val="00C20735"/>
    <w:rsid w:val="00C21858"/>
    <w:rsid w:val="00C229DF"/>
    <w:rsid w:val="00C235C8"/>
    <w:rsid w:val="00C23771"/>
    <w:rsid w:val="00C26999"/>
    <w:rsid w:val="00C31566"/>
    <w:rsid w:val="00C316D5"/>
    <w:rsid w:val="00C32482"/>
    <w:rsid w:val="00C326A8"/>
    <w:rsid w:val="00C32EEC"/>
    <w:rsid w:val="00C33D75"/>
    <w:rsid w:val="00C340DE"/>
    <w:rsid w:val="00C344A5"/>
    <w:rsid w:val="00C350C3"/>
    <w:rsid w:val="00C35C46"/>
    <w:rsid w:val="00C369F7"/>
    <w:rsid w:val="00C4079C"/>
    <w:rsid w:val="00C41297"/>
    <w:rsid w:val="00C417EB"/>
    <w:rsid w:val="00C4202F"/>
    <w:rsid w:val="00C42275"/>
    <w:rsid w:val="00C422D9"/>
    <w:rsid w:val="00C46BA0"/>
    <w:rsid w:val="00C46BB3"/>
    <w:rsid w:val="00C476E2"/>
    <w:rsid w:val="00C50807"/>
    <w:rsid w:val="00C51714"/>
    <w:rsid w:val="00C525DF"/>
    <w:rsid w:val="00C53044"/>
    <w:rsid w:val="00C53310"/>
    <w:rsid w:val="00C57BA6"/>
    <w:rsid w:val="00C6105B"/>
    <w:rsid w:val="00C610DB"/>
    <w:rsid w:val="00C626DF"/>
    <w:rsid w:val="00C62C7A"/>
    <w:rsid w:val="00C62E98"/>
    <w:rsid w:val="00C63B97"/>
    <w:rsid w:val="00C63E62"/>
    <w:rsid w:val="00C63FCD"/>
    <w:rsid w:val="00C64A48"/>
    <w:rsid w:val="00C65E5C"/>
    <w:rsid w:val="00C6626F"/>
    <w:rsid w:val="00C6669D"/>
    <w:rsid w:val="00C66855"/>
    <w:rsid w:val="00C6755F"/>
    <w:rsid w:val="00C70E2C"/>
    <w:rsid w:val="00C71774"/>
    <w:rsid w:val="00C71858"/>
    <w:rsid w:val="00C71984"/>
    <w:rsid w:val="00C7392F"/>
    <w:rsid w:val="00C74E28"/>
    <w:rsid w:val="00C75B16"/>
    <w:rsid w:val="00C75C24"/>
    <w:rsid w:val="00C76439"/>
    <w:rsid w:val="00C76666"/>
    <w:rsid w:val="00C8088E"/>
    <w:rsid w:val="00C81BD8"/>
    <w:rsid w:val="00C82078"/>
    <w:rsid w:val="00C82209"/>
    <w:rsid w:val="00C8269F"/>
    <w:rsid w:val="00C827AF"/>
    <w:rsid w:val="00C82F72"/>
    <w:rsid w:val="00C83369"/>
    <w:rsid w:val="00C8375E"/>
    <w:rsid w:val="00C83821"/>
    <w:rsid w:val="00C83EE0"/>
    <w:rsid w:val="00C84162"/>
    <w:rsid w:val="00C846BF"/>
    <w:rsid w:val="00C84983"/>
    <w:rsid w:val="00C84F19"/>
    <w:rsid w:val="00C86406"/>
    <w:rsid w:val="00C866A1"/>
    <w:rsid w:val="00C86CA4"/>
    <w:rsid w:val="00C9029E"/>
    <w:rsid w:val="00C906C5"/>
    <w:rsid w:val="00C91D7F"/>
    <w:rsid w:val="00C93D6B"/>
    <w:rsid w:val="00C9567F"/>
    <w:rsid w:val="00C959A4"/>
    <w:rsid w:val="00C95B5B"/>
    <w:rsid w:val="00C960F0"/>
    <w:rsid w:val="00C97214"/>
    <w:rsid w:val="00CA0FA3"/>
    <w:rsid w:val="00CA1E57"/>
    <w:rsid w:val="00CA3219"/>
    <w:rsid w:val="00CA4F4A"/>
    <w:rsid w:val="00CA6354"/>
    <w:rsid w:val="00CA692E"/>
    <w:rsid w:val="00CA7CD5"/>
    <w:rsid w:val="00CA7D5E"/>
    <w:rsid w:val="00CB00C1"/>
    <w:rsid w:val="00CB11E0"/>
    <w:rsid w:val="00CB1491"/>
    <w:rsid w:val="00CB24FD"/>
    <w:rsid w:val="00CB2953"/>
    <w:rsid w:val="00CB29F2"/>
    <w:rsid w:val="00CB2FAD"/>
    <w:rsid w:val="00CB363D"/>
    <w:rsid w:val="00CB3FFE"/>
    <w:rsid w:val="00CB5C0F"/>
    <w:rsid w:val="00CB692B"/>
    <w:rsid w:val="00CB764A"/>
    <w:rsid w:val="00CB7F3E"/>
    <w:rsid w:val="00CC200B"/>
    <w:rsid w:val="00CC2904"/>
    <w:rsid w:val="00CC2D4A"/>
    <w:rsid w:val="00CC403F"/>
    <w:rsid w:val="00CC7637"/>
    <w:rsid w:val="00CC77DA"/>
    <w:rsid w:val="00CC7DC7"/>
    <w:rsid w:val="00CD0511"/>
    <w:rsid w:val="00CD162D"/>
    <w:rsid w:val="00CD1F06"/>
    <w:rsid w:val="00CD2B01"/>
    <w:rsid w:val="00CD3785"/>
    <w:rsid w:val="00CD741C"/>
    <w:rsid w:val="00CE1188"/>
    <w:rsid w:val="00CE6D8E"/>
    <w:rsid w:val="00CE7066"/>
    <w:rsid w:val="00CF0625"/>
    <w:rsid w:val="00CF0918"/>
    <w:rsid w:val="00CF13F6"/>
    <w:rsid w:val="00CF1CD6"/>
    <w:rsid w:val="00CF3862"/>
    <w:rsid w:val="00CF5BF9"/>
    <w:rsid w:val="00CF7809"/>
    <w:rsid w:val="00D00627"/>
    <w:rsid w:val="00D00868"/>
    <w:rsid w:val="00D00F3C"/>
    <w:rsid w:val="00D014EC"/>
    <w:rsid w:val="00D015D9"/>
    <w:rsid w:val="00D03260"/>
    <w:rsid w:val="00D03698"/>
    <w:rsid w:val="00D03903"/>
    <w:rsid w:val="00D039D7"/>
    <w:rsid w:val="00D04E34"/>
    <w:rsid w:val="00D065E6"/>
    <w:rsid w:val="00D07B7F"/>
    <w:rsid w:val="00D07C8D"/>
    <w:rsid w:val="00D10C14"/>
    <w:rsid w:val="00D10C5B"/>
    <w:rsid w:val="00D11C4A"/>
    <w:rsid w:val="00D14696"/>
    <w:rsid w:val="00D16F9B"/>
    <w:rsid w:val="00D171DB"/>
    <w:rsid w:val="00D17CF9"/>
    <w:rsid w:val="00D21677"/>
    <w:rsid w:val="00D22B10"/>
    <w:rsid w:val="00D23FC6"/>
    <w:rsid w:val="00D2435D"/>
    <w:rsid w:val="00D243D7"/>
    <w:rsid w:val="00D24C40"/>
    <w:rsid w:val="00D26C6B"/>
    <w:rsid w:val="00D26F71"/>
    <w:rsid w:val="00D2796C"/>
    <w:rsid w:val="00D27ACB"/>
    <w:rsid w:val="00D27B23"/>
    <w:rsid w:val="00D302D2"/>
    <w:rsid w:val="00D31132"/>
    <w:rsid w:val="00D31153"/>
    <w:rsid w:val="00D3155A"/>
    <w:rsid w:val="00D324E9"/>
    <w:rsid w:val="00D32B06"/>
    <w:rsid w:val="00D337AD"/>
    <w:rsid w:val="00D34AAB"/>
    <w:rsid w:val="00D35769"/>
    <w:rsid w:val="00D36A68"/>
    <w:rsid w:val="00D37E2C"/>
    <w:rsid w:val="00D41E4A"/>
    <w:rsid w:val="00D42911"/>
    <w:rsid w:val="00D43569"/>
    <w:rsid w:val="00D4422E"/>
    <w:rsid w:val="00D44279"/>
    <w:rsid w:val="00D454A5"/>
    <w:rsid w:val="00D50D3F"/>
    <w:rsid w:val="00D54A07"/>
    <w:rsid w:val="00D54B69"/>
    <w:rsid w:val="00D54D0A"/>
    <w:rsid w:val="00D54DDF"/>
    <w:rsid w:val="00D54F62"/>
    <w:rsid w:val="00D55540"/>
    <w:rsid w:val="00D55AF4"/>
    <w:rsid w:val="00D55E17"/>
    <w:rsid w:val="00D5724B"/>
    <w:rsid w:val="00D57A8D"/>
    <w:rsid w:val="00D608F0"/>
    <w:rsid w:val="00D62753"/>
    <w:rsid w:val="00D62BA2"/>
    <w:rsid w:val="00D6380A"/>
    <w:rsid w:val="00D651D4"/>
    <w:rsid w:val="00D67CF0"/>
    <w:rsid w:val="00D702E1"/>
    <w:rsid w:val="00D71A11"/>
    <w:rsid w:val="00D72723"/>
    <w:rsid w:val="00D72C42"/>
    <w:rsid w:val="00D7320A"/>
    <w:rsid w:val="00D748AE"/>
    <w:rsid w:val="00D74A42"/>
    <w:rsid w:val="00D74BD0"/>
    <w:rsid w:val="00D758ED"/>
    <w:rsid w:val="00D75BB8"/>
    <w:rsid w:val="00D760AF"/>
    <w:rsid w:val="00D76811"/>
    <w:rsid w:val="00D77214"/>
    <w:rsid w:val="00D77BFD"/>
    <w:rsid w:val="00D80255"/>
    <w:rsid w:val="00D80509"/>
    <w:rsid w:val="00D8206C"/>
    <w:rsid w:val="00D82B93"/>
    <w:rsid w:val="00D830F3"/>
    <w:rsid w:val="00D84653"/>
    <w:rsid w:val="00D85782"/>
    <w:rsid w:val="00D86274"/>
    <w:rsid w:val="00D86EA4"/>
    <w:rsid w:val="00D874B1"/>
    <w:rsid w:val="00D87DE0"/>
    <w:rsid w:val="00D90746"/>
    <w:rsid w:val="00D90780"/>
    <w:rsid w:val="00D91261"/>
    <w:rsid w:val="00D9240C"/>
    <w:rsid w:val="00D94301"/>
    <w:rsid w:val="00D966EC"/>
    <w:rsid w:val="00D967C1"/>
    <w:rsid w:val="00D975B1"/>
    <w:rsid w:val="00DA130C"/>
    <w:rsid w:val="00DA20D4"/>
    <w:rsid w:val="00DA237D"/>
    <w:rsid w:val="00DA2E4B"/>
    <w:rsid w:val="00DA3898"/>
    <w:rsid w:val="00DA456B"/>
    <w:rsid w:val="00DB06EB"/>
    <w:rsid w:val="00DB0893"/>
    <w:rsid w:val="00DB0EB0"/>
    <w:rsid w:val="00DB26DD"/>
    <w:rsid w:val="00DB2B60"/>
    <w:rsid w:val="00DB3670"/>
    <w:rsid w:val="00DB36C2"/>
    <w:rsid w:val="00DB4034"/>
    <w:rsid w:val="00DB5521"/>
    <w:rsid w:val="00DC2811"/>
    <w:rsid w:val="00DC2B61"/>
    <w:rsid w:val="00DC3A4B"/>
    <w:rsid w:val="00DC3E8C"/>
    <w:rsid w:val="00DC400E"/>
    <w:rsid w:val="00DC42A5"/>
    <w:rsid w:val="00DC575A"/>
    <w:rsid w:val="00DC74FB"/>
    <w:rsid w:val="00DD10B0"/>
    <w:rsid w:val="00DD1E43"/>
    <w:rsid w:val="00DD2355"/>
    <w:rsid w:val="00DD2F17"/>
    <w:rsid w:val="00DD3161"/>
    <w:rsid w:val="00DD47AD"/>
    <w:rsid w:val="00DD4B4C"/>
    <w:rsid w:val="00DD4D8A"/>
    <w:rsid w:val="00DD6096"/>
    <w:rsid w:val="00DD79E1"/>
    <w:rsid w:val="00DD7AE4"/>
    <w:rsid w:val="00DE0430"/>
    <w:rsid w:val="00DE09BD"/>
    <w:rsid w:val="00DE0E52"/>
    <w:rsid w:val="00DE1742"/>
    <w:rsid w:val="00DE28C0"/>
    <w:rsid w:val="00DE2B0A"/>
    <w:rsid w:val="00DE3651"/>
    <w:rsid w:val="00DE469F"/>
    <w:rsid w:val="00DE53D4"/>
    <w:rsid w:val="00DE63ED"/>
    <w:rsid w:val="00DE654C"/>
    <w:rsid w:val="00DE6A67"/>
    <w:rsid w:val="00DF0276"/>
    <w:rsid w:val="00DF056F"/>
    <w:rsid w:val="00DF12A5"/>
    <w:rsid w:val="00DF31E3"/>
    <w:rsid w:val="00DF388F"/>
    <w:rsid w:val="00DF3964"/>
    <w:rsid w:val="00E010BC"/>
    <w:rsid w:val="00E01CD8"/>
    <w:rsid w:val="00E02ACD"/>
    <w:rsid w:val="00E0431C"/>
    <w:rsid w:val="00E04AE0"/>
    <w:rsid w:val="00E060C6"/>
    <w:rsid w:val="00E070E4"/>
    <w:rsid w:val="00E13585"/>
    <w:rsid w:val="00E157BE"/>
    <w:rsid w:val="00E16885"/>
    <w:rsid w:val="00E17E9E"/>
    <w:rsid w:val="00E17F3E"/>
    <w:rsid w:val="00E21340"/>
    <w:rsid w:val="00E21E8A"/>
    <w:rsid w:val="00E22373"/>
    <w:rsid w:val="00E23C86"/>
    <w:rsid w:val="00E251F5"/>
    <w:rsid w:val="00E25E35"/>
    <w:rsid w:val="00E25FCD"/>
    <w:rsid w:val="00E263CA"/>
    <w:rsid w:val="00E276F6"/>
    <w:rsid w:val="00E30354"/>
    <w:rsid w:val="00E31297"/>
    <w:rsid w:val="00E31585"/>
    <w:rsid w:val="00E35C8D"/>
    <w:rsid w:val="00E36ECC"/>
    <w:rsid w:val="00E37836"/>
    <w:rsid w:val="00E37CC3"/>
    <w:rsid w:val="00E41A5F"/>
    <w:rsid w:val="00E41FA9"/>
    <w:rsid w:val="00E41FC6"/>
    <w:rsid w:val="00E42D0D"/>
    <w:rsid w:val="00E42E55"/>
    <w:rsid w:val="00E434DB"/>
    <w:rsid w:val="00E440EA"/>
    <w:rsid w:val="00E44364"/>
    <w:rsid w:val="00E467B8"/>
    <w:rsid w:val="00E55120"/>
    <w:rsid w:val="00E553F4"/>
    <w:rsid w:val="00E55C1F"/>
    <w:rsid w:val="00E560E9"/>
    <w:rsid w:val="00E564F6"/>
    <w:rsid w:val="00E56B7B"/>
    <w:rsid w:val="00E57022"/>
    <w:rsid w:val="00E574B6"/>
    <w:rsid w:val="00E578D7"/>
    <w:rsid w:val="00E57924"/>
    <w:rsid w:val="00E6020E"/>
    <w:rsid w:val="00E62888"/>
    <w:rsid w:val="00E62C23"/>
    <w:rsid w:val="00E64063"/>
    <w:rsid w:val="00E6604E"/>
    <w:rsid w:val="00E66C0B"/>
    <w:rsid w:val="00E671B0"/>
    <w:rsid w:val="00E67A87"/>
    <w:rsid w:val="00E701ED"/>
    <w:rsid w:val="00E71093"/>
    <w:rsid w:val="00E711DC"/>
    <w:rsid w:val="00E715A8"/>
    <w:rsid w:val="00E717AB"/>
    <w:rsid w:val="00E7389A"/>
    <w:rsid w:val="00E74071"/>
    <w:rsid w:val="00E74090"/>
    <w:rsid w:val="00E74F1C"/>
    <w:rsid w:val="00E772EB"/>
    <w:rsid w:val="00E80338"/>
    <w:rsid w:val="00E81A3E"/>
    <w:rsid w:val="00E837F5"/>
    <w:rsid w:val="00E83AB6"/>
    <w:rsid w:val="00E83F4C"/>
    <w:rsid w:val="00E852F3"/>
    <w:rsid w:val="00E855EC"/>
    <w:rsid w:val="00E8670E"/>
    <w:rsid w:val="00E877D0"/>
    <w:rsid w:val="00E87C30"/>
    <w:rsid w:val="00E87F68"/>
    <w:rsid w:val="00E91638"/>
    <w:rsid w:val="00E916E4"/>
    <w:rsid w:val="00E91A10"/>
    <w:rsid w:val="00E92294"/>
    <w:rsid w:val="00E94FB6"/>
    <w:rsid w:val="00E959EA"/>
    <w:rsid w:val="00E96339"/>
    <w:rsid w:val="00E96A1C"/>
    <w:rsid w:val="00E974D5"/>
    <w:rsid w:val="00E97C8F"/>
    <w:rsid w:val="00EA0779"/>
    <w:rsid w:val="00EA197E"/>
    <w:rsid w:val="00EA2057"/>
    <w:rsid w:val="00EA2CE0"/>
    <w:rsid w:val="00EA3D6F"/>
    <w:rsid w:val="00EA4033"/>
    <w:rsid w:val="00EA4D20"/>
    <w:rsid w:val="00EA726C"/>
    <w:rsid w:val="00EA797E"/>
    <w:rsid w:val="00EB1369"/>
    <w:rsid w:val="00EB1F94"/>
    <w:rsid w:val="00EB4805"/>
    <w:rsid w:val="00EB56BA"/>
    <w:rsid w:val="00EB5BA6"/>
    <w:rsid w:val="00EB7887"/>
    <w:rsid w:val="00EC1275"/>
    <w:rsid w:val="00EC2148"/>
    <w:rsid w:val="00EC4174"/>
    <w:rsid w:val="00EC4990"/>
    <w:rsid w:val="00EC6936"/>
    <w:rsid w:val="00EC6A29"/>
    <w:rsid w:val="00EC7624"/>
    <w:rsid w:val="00ED0AA5"/>
    <w:rsid w:val="00ED1255"/>
    <w:rsid w:val="00ED19BA"/>
    <w:rsid w:val="00ED38FE"/>
    <w:rsid w:val="00ED3CDC"/>
    <w:rsid w:val="00ED4634"/>
    <w:rsid w:val="00ED486F"/>
    <w:rsid w:val="00ED5B7A"/>
    <w:rsid w:val="00EE05CA"/>
    <w:rsid w:val="00EE42DD"/>
    <w:rsid w:val="00EE4540"/>
    <w:rsid w:val="00EE4566"/>
    <w:rsid w:val="00EE45C0"/>
    <w:rsid w:val="00EE52E9"/>
    <w:rsid w:val="00EE5BAE"/>
    <w:rsid w:val="00EE5C18"/>
    <w:rsid w:val="00EE62D2"/>
    <w:rsid w:val="00EE7D36"/>
    <w:rsid w:val="00EF2AE9"/>
    <w:rsid w:val="00EF3A0D"/>
    <w:rsid w:val="00EF3E3F"/>
    <w:rsid w:val="00EF46C2"/>
    <w:rsid w:val="00EF5298"/>
    <w:rsid w:val="00EF5966"/>
    <w:rsid w:val="00EF6776"/>
    <w:rsid w:val="00F015CB"/>
    <w:rsid w:val="00F030FB"/>
    <w:rsid w:val="00F0517E"/>
    <w:rsid w:val="00F05671"/>
    <w:rsid w:val="00F07B4C"/>
    <w:rsid w:val="00F103E5"/>
    <w:rsid w:val="00F10B9B"/>
    <w:rsid w:val="00F11A32"/>
    <w:rsid w:val="00F15EEA"/>
    <w:rsid w:val="00F15FFB"/>
    <w:rsid w:val="00F1636C"/>
    <w:rsid w:val="00F17012"/>
    <w:rsid w:val="00F20B3E"/>
    <w:rsid w:val="00F214C3"/>
    <w:rsid w:val="00F22498"/>
    <w:rsid w:val="00F2312B"/>
    <w:rsid w:val="00F256CC"/>
    <w:rsid w:val="00F264C7"/>
    <w:rsid w:val="00F26C20"/>
    <w:rsid w:val="00F32648"/>
    <w:rsid w:val="00F33738"/>
    <w:rsid w:val="00F33DAE"/>
    <w:rsid w:val="00F345F8"/>
    <w:rsid w:val="00F34CD7"/>
    <w:rsid w:val="00F36AF2"/>
    <w:rsid w:val="00F36C14"/>
    <w:rsid w:val="00F372A4"/>
    <w:rsid w:val="00F40D37"/>
    <w:rsid w:val="00F4189C"/>
    <w:rsid w:val="00F41F05"/>
    <w:rsid w:val="00F42468"/>
    <w:rsid w:val="00F4252F"/>
    <w:rsid w:val="00F439A3"/>
    <w:rsid w:val="00F4428D"/>
    <w:rsid w:val="00F44F2D"/>
    <w:rsid w:val="00F45BF2"/>
    <w:rsid w:val="00F45E6E"/>
    <w:rsid w:val="00F462BA"/>
    <w:rsid w:val="00F4636F"/>
    <w:rsid w:val="00F470D9"/>
    <w:rsid w:val="00F51740"/>
    <w:rsid w:val="00F523E2"/>
    <w:rsid w:val="00F5247A"/>
    <w:rsid w:val="00F534D3"/>
    <w:rsid w:val="00F54AB0"/>
    <w:rsid w:val="00F56839"/>
    <w:rsid w:val="00F56BD2"/>
    <w:rsid w:val="00F57E38"/>
    <w:rsid w:val="00F623E4"/>
    <w:rsid w:val="00F627EE"/>
    <w:rsid w:val="00F64B76"/>
    <w:rsid w:val="00F65A87"/>
    <w:rsid w:val="00F664C1"/>
    <w:rsid w:val="00F7094E"/>
    <w:rsid w:val="00F70BE1"/>
    <w:rsid w:val="00F71E2B"/>
    <w:rsid w:val="00F71F81"/>
    <w:rsid w:val="00F723CD"/>
    <w:rsid w:val="00F751AE"/>
    <w:rsid w:val="00F755AC"/>
    <w:rsid w:val="00F77640"/>
    <w:rsid w:val="00F77B4E"/>
    <w:rsid w:val="00F83B11"/>
    <w:rsid w:val="00F8418B"/>
    <w:rsid w:val="00F845F1"/>
    <w:rsid w:val="00F84C8B"/>
    <w:rsid w:val="00F86BA5"/>
    <w:rsid w:val="00F906FF"/>
    <w:rsid w:val="00F90DBE"/>
    <w:rsid w:val="00F91F1A"/>
    <w:rsid w:val="00F92997"/>
    <w:rsid w:val="00F938FE"/>
    <w:rsid w:val="00F9513E"/>
    <w:rsid w:val="00F9535F"/>
    <w:rsid w:val="00F95B5C"/>
    <w:rsid w:val="00F97C2B"/>
    <w:rsid w:val="00F97CCB"/>
    <w:rsid w:val="00FA2469"/>
    <w:rsid w:val="00FA2C98"/>
    <w:rsid w:val="00FA4304"/>
    <w:rsid w:val="00FA51CA"/>
    <w:rsid w:val="00FA65D3"/>
    <w:rsid w:val="00FA6910"/>
    <w:rsid w:val="00FA6C93"/>
    <w:rsid w:val="00FB006C"/>
    <w:rsid w:val="00FB06FC"/>
    <w:rsid w:val="00FB186D"/>
    <w:rsid w:val="00FB2BF1"/>
    <w:rsid w:val="00FB4146"/>
    <w:rsid w:val="00FB5E03"/>
    <w:rsid w:val="00FB727F"/>
    <w:rsid w:val="00FB7D94"/>
    <w:rsid w:val="00FC02FA"/>
    <w:rsid w:val="00FC0858"/>
    <w:rsid w:val="00FC15B0"/>
    <w:rsid w:val="00FC4102"/>
    <w:rsid w:val="00FC6490"/>
    <w:rsid w:val="00FC650B"/>
    <w:rsid w:val="00FD06E4"/>
    <w:rsid w:val="00FD196A"/>
    <w:rsid w:val="00FD214C"/>
    <w:rsid w:val="00FD3E8F"/>
    <w:rsid w:val="00FD56B7"/>
    <w:rsid w:val="00FD580B"/>
    <w:rsid w:val="00FD711F"/>
    <w:rsid w:val="00FD723A"/>
    <w:rsid w:val="00FD7C60"/>
    <w:rsid w:val="00FD7DC2"/>
    <w:rsid w:val="00FE0482"/>
    <w:rsid w:val="00FE212A"/>
    <w:rsid w:val="00FE24CC"/>
    <w:rsid w:val="00FE252D"/>
    <w:rsid w:val="00FE3387"/>
    <w:rsid w:val="00FE4B6A"/>
    <w:rsid w:val="00FE55D4"/>
    <w:rsid w:val="00FE5900"/>
    <w:rsid w:val="00FE6643"/>
    <w:rsid w:val="00FE7E48"/>
    <w:rsid w:val="00FF013C"/>
    <w:rsid w:val="00FF05F5"/>
    <w:rsid w:val="00FF0DAF"/>
    <w:rsid w:val="00FF1AD2"/>
    <w:rsid w:val="00FF2D6C"/>
    <w:rsid w:val="00FF3744"/>
    <w:rsid w:val="00FF4127"/>
    <w:rsid w:val="00FF6732"/>
    <w:rsid w:val="00FF690C"/>
    <w:rsid w:val="00FF7CE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3B16950D-7C92-4DA6-B530-AEABA6F3F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630"/>
  </w:style>
  <w:style w:type="paragraph" w:styleId="Ttulo1">
    <w:name w:val="heading 1"/>
    <w:basedOn w:val="Normal"/>
    <w:next w:val="Normal"/>
    <w:link w:val="Ttulo1Car"/>
    <w:uiPriority w:val="9"/>
    <w:qFormat/>
    <w:rsid w:val="00072CA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9"/>
    <w:qFormat/>
    <w:rsid w:val="006B32F1"/>
    <w:pPr>
      <w:spacing w:before="100" w:beforeAutospacing="1" w:after="100" w:afterAutospacing="1"/>
      <w:outlineLvl w:val="1"/>
    </w:pPr>
    <w:rPr>
      <w:rFonts w:ascii="Times New Roman" w:eastAsia="Times New Roman" w:hAnsi="Times New Roman" w:cs="Times New Roman"/>
      <w:b/>
      <w:bCs/>
      <w:sz w:val="36"/>
      <w:szCs w:val="3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66AC"/>
    <w:pPr>
      <w:tabs>
        <w:tab w:val="center" w:pos="4153"/>
        <w:tab w:val="right" w:pos="8306"/>
      </w:tabs>
    </w:pPr>
  </w:style>
  <w:style w:type="character" w:customStyle="1" w:styleId="EncabezadoCar">
    <w:name w:val="Encabezado Car"/>
    <w:basedOn w:val="Fuentedeprrafopredeter"/>
    <w:link w:val="Encabezado"/>
    <w:uiPriority w:val="99"/>
    <w:rsid w:val="005C66AC"/>
  </w:style>
  <w:style w:type="paragraph" w:styleId="Piedepgina">
    <w:name w:val="footer"/>
    <w:basedOn w:val="Normal"/>
    <w:link w:val="PiedepginaCar"/>
    <w:uiPriority w:val="99"/>
    <w:unhideWhenUsed/>
    <w:rsid w:val="005C66AC"/>
    <w:pPr>
      <w:tabs>
        <w:tab w:val="center" w:pos="4153"/>
        <w:tab w:val="right" w:pos="8306"/>
      </w:tabs>
    </w:pPr>
  </w:style>
  <w:style w:type="character" w:customStyle="1" w:styleId="PiedepginaCar">
    <w:name w:val="Pie de página Car"/>
    <w:basedOn w:val="Fuentedeprrafopredeter"/>
    <w:link w:val="Piedepgina"/>
    <w:uiPriority w:val="99"/>
    <w:rsid w:val="005C66AC"/>
  </w:style>
  <w:style w:type="character" w:styleId="Nmerodepgina">
    <w:name w:val="page number"/>
    <w:basedOn w:val="Fuentedeprrafopredeter"/>
    <w:uiPriority w:val="99"/>
    <w:semiHidden/>
    <w:unhideWhenUsed/>
    <w:rsid w:val="005C66AC"/>
  </w:style>
  <w:style w:type="paragraph" w:styleId="Textodeglobo">
    <w:name w:val="Balloon Text"/>
    <w:basedOn w:val="Normal"/>
    <w:link w:val="TextodegloboCar"/>
    <w:uiPriority w:val="99"/>
    <w:semiHidden/>
    <w:unhideWhenUsed/>
    <w:rsid w:val="003A25D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A25D6"/>
    <w:rPr>
      <w:rFonts w:ascii="Lucida Grande" w:hAnsi="Lucida Grande" w:cs="Lucida Grande"/>
      <w:sz w:val="18"/>
      <w:szCs w:val="18"/>
    </w:rPr>
  </w:style>
  <w:style w:type="paragraph" w:customStyle="1" w:styleId="Texto">
    <w:name w:val="Texto"/>
    <w:basedOn w:val="Normal"/>
    <w:link w:val="TextoCar"/>
    <w:rsid w:val="00C344A5"/>
    <w:pPr>
      <w:spacing w:after="101" w:line="216" w:lineRule="exact"/>
      <w:ind w:firstLine="288"/>
      <w:jc w:val="both"/>
    </w:pPr>
    <w:rPr>
      <w:rFonts w:ascii="Arial" w:eastAsia="Times New Roman" w:hAnsi="Arial" w:cs="Times New Roman"/>
      <w:sz w:val="18"/>
      <w:szCs w:val="20"/>
      <w:lang w:val="es-ES" w:eastAsia="es-MX"/>
    </w:rPr>
  </w:style>
  <w:style w:type="character" w:customStyle="1" w:styleId="TextoCar">
    <w:name w:val="Texto Car"/>
    <w:link w:val="Texto"/>
    <w:locked/>
    <w:rsid w:val="00C344A5"/>
    <w:rPr>
      <w:rFonts w:ascii="Arial" w:eastAsia="Times New Roman" w:hAnsi="Arial" w:cs="Times New Roman"/>
      <w:sz w:val="18"/>
      <w:szCs w:val="20"/>
      <w:lang w:val="es-ES" w:eastAsia="es-MX"/>
    </w:rPr>
  </w:style>
  <w:style w:type="paragraph" w:styleId="Prrafodelista">
    <w:name w:val="List Paragraph"/>
    <w:basedOn w:val="Normal"/>
    <w:link w:val="PrrafodelistaCar"/>
    <w:uiPriority w:val="34"/>
    <w:qFormat/>
    <w:rsid w:val="001B11C7"/>
    <w:pPr>
      <w:ind w:left="720"/>
      <w:contextualSpacing/>
    </w:pPr>
  </w:style>
  <w:style w:type="table" w:styleId="Tablaconcuadrcula">
    <w:name w:val="Table Grid"/>
    <w:basedOn w:val="Tablanormal"/>
    <w:uiPriority w:val="39"/>
    <w:rsid w:val="001B11C7"/>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link w:val="ANOTACIONCar"/>
    <w:rsid w:val="001B11C7"/>
    <w:pPr>
      <w:spacing w:before="101" w:after="101"/>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1B11C7"/>
    <w:rPr>
      <w:rFonts w:ascii="Times New Roman" w:eastAsia="Times New Roman" w:hAnsi="Times New Roman" w:cs="Times New Roman"/>
      <w:b/>
      <w:sz w:val="18"/>
      <w:szCs w:val="18"/>
      <w:lang w:val="x-none" w:eastAsia="x-none"/>
    </w:rPr>
  </w:style>
  <w:style w:type="paragraph" w:styleId="Textonotapie">
    <w:name w:val="footnote text"/>
    <w:basedOn w:val="Normal"/>
    <w:link w:val="TextonotapieCar"/>
    <w:uiPriority w:val="99"/>
    <w:unhideWhenUsed/>
    <w:rsid w:val="001B11C7"/>
  </w:style>
  <w:style w:type="character" w:customStyle="1" w:styleId="TextonotapieCar">
    <w:name w:val="Texto nota pie Car"/>
    <w:basedOn w:val="Fuentedeprrafopredeter"/>
    <w:link w:val="Textonotapie"/>
    <w:uiPriority w:val="99"/>
    <w:rsid w:val="001B11C7"/>
  </w:style>
  <w:style w:type="character" w:styleId="Refdenotaalpie">
    <w:name w:val="footnote reference"/>
    <w:basedOn w:val="Fuentedeprrafopredeter"/>
    <w:uiPriority w:val="99"/>
    <w:unhideWhenUsed/>
    <w:rsid w:val="001B11C7"/>
    <w:rPr>
      <w:vertAlign w:val="superscript"/>
    </w:rPr>
  </w:style>
  <w:style w:type="paragraph" w:styleId="NormalWeb">
    <w:name w:val="Normal (Web)"/>
    <w:basedOn w:val="Normal"/>
    <w:uiPriority w:val="99"/>
    <w:unhideWhenUsed/>
    <w:rsid w:val="00BE2539"/>
    <w:pPr>
      <w:spacing w:before="100" w:beforeAutospacing="1" w:after="100" w:afterAutospacing="1"/>
    </w:pPr>
    <w:rPr>
      <w:rFonts w:ascii="Times New Roman" w:eastAsia="Times New Roman" w:hAnsi="Times New Roman" w:cs="Times New Roman"/>
      <w:lang w:val="es-MX" w:eastAsia="es-MX"/>
    </w:rPr>
  </w:style>
  <w:style w:type="character" w:customStyle="1" w:styleId="apple-converted-space">
    <w:name w:val="apple-converted-space"/>
    <w:basedOn w:val="Fuentedeprrafopredeter"/>
    <w:rsid w:val="006B48BB"/>
  </w:style>
  <w:style w:type="character" w:styleId="Hipervnculo">
    <w:name w:val="Hyperlink"/>
    <w:basedOn w:val="Fuentedeprrafopredeter"/>
    <w:uiPriority w:val="99"/>
    <w:unhideWhenUsed/>
    <w:rsid w:val="006B48BB"/>
    <w:rPr>
      <w:color w:val="0000FF"/>
      <w:u w:val="single"/>
    </w:rPr>
  </w:style>
  <w:style w:type="character" w:styleId="Refdecomentario">
    <w:name w:val="annotation reference"/>
    <w:basedOn w:val="Fuentedeprrafopredeter"/>
    <w:uiPriority w:val="99"/>
    <w:semiHidden/>
    <w:unhideWhenUsed/>
    <w:rsid w:val="00B6694E"/>
    <w:rPr>
      <w:sz w:val="16"/>
      <w:szCs w:val="16"/>
    </w:rPr>
  </w:style>
  <w:style w:type="paragraph" w:styleId="Textocomentario">
    <w:name w:val="annotation text"/>
    <w:basedOn w:val="Normal"/>
    <w:link w:val="TextocomentarioCar"/>
    <w:uiPriority w:val="99"/>
    <w:semiHidden/>
    <w:unhideWhenUsed/>
    <w:rsid w:val="00B6694E"/>
    <w:rPr>
      <w:sz w:val="20"/>
      <w:szCs w:val="20"/>
    </w:rPr>
  </w:style>
  <w:style w:type="character" w:customStyle="1" w:styleId="TextocomentarioCar">
    <w:name w:val="Texto comentario Car"/>
    <w:basedOn w:val="Fuentedeprrafopredeter"/>
    <w:link w:val="Textocomentario"/>
    <w:uiPriority w:val="99"/>
    <w:semiHidden/>
    <w:rsid w:val="00B6694E"/>
    <w:rPr>
      <w:sz w:val="20"/>
      <w:szCs w:val="20"/>
    </w:rPr>
  </w:style>
  <w:style w:type="paragraph" w:styleId="Asuntodelcomentario">
    <w:name w:val="annotation subject"/>
    <w:basedOn w:val="Textocomentario"/>
    <w:next w:val="Textocomentario"/>
    <w:link w:val="AsuntodelcomentarioCar"/>
    <w:uiPriority w:val="99"/>
    <w:semiHidden/>
    <w:unhideWhenUsed/>
    <w:rsid w:val="00B6694E"/>
    <w:rPr>
      <w:b/>
      <w:bCs/>
    </w:rPr>
  </w:style>
  <w:style w:type="character" w:customStyle="1" w:styleId="AsuntodelcomentarioCar">
    <w:name w:val="Asunto del comentario Car"/>
    <w:basedOn w:val="TextocomentarioCar"/>
    <w:link w:val="Asuntodelcomentario"/>
    <w:uiPriority w:val="99"/>
    <w:semiHidden/>
    <w:rsid w:val="00B6694E"/>
    <w:rPr>
      <w:b/>
      <w:bCs/>
      <w:sz w:val="20"/>
      <w:szCs w:val="20"/>
    </w:rPr>
  </w:style>
  <w:style w:type="paragraph" w:customStyle="1" w:styleId="Default">
    <w:name w:val="Default"/>
    <w:rsid w:val="005A037E"/>
    <w:pPr>
      <w:autoSpaceDE w:val="0"/>
      <w:autoSpaceDN w:val="0"/>
      <w:adjustRightInd w:val="0"/>
    </w:pPr>
    <w:rPr>
      <w:rFonts w:ascii="Arial" w:hAnsi="Arial" w:cs="Arial"/>
      <w:color w:val="000000"/>
      <w:lang w:val="en-US" w:eastAsia="es-MX"/>
    </w:rPr>
  </w:style>
  <w:style w:type="character" w:customStyle="1" w:styleId="Ttulo2Car">
    <w:name w:val="Título 2 Car"/>
    <w:basedOn w:val="Fuentedeprrafopredeter"/>
    <w:link w:val="Ttulo2"/>
    <w:uiPriority w:val="9"/>
    <w:rsid w:val="006B32F1"/>
    <w:rPr>
      <w:rFonts w:ascii="Times New Roman" w:eastAsia="Times New Roman" w:hAnsi="Times New Roman" w:cs="Times New Roman"/>
      <w:b/>
      <w:bCs/>
      <w:sz w:val="36"/>
      <w:szCs w:val="36"/>
      <w:lang w:val="es-MX" w:eastAsia="es-MX"/>
    </w:rPr>
  </w:style>
  <w:style w:type="paragraph" w:styleId="Sinespaciado">
    <w:name w:val="No Spacing"/>
    <w:uiPriority w:val="1"/>
    <w:qFormat/>
    <w:rsid w:val="00072CAD"/>
  </w:style>
  <w:style w:type="character" w:customStyle="1" w:styleId="Ttulo1Car">
    <w:name w:val="Título 1 Car"/>
    <w:basedOn w:val="Fuentedeprrafopredeter"/>
    <w:link w:val="Ttulo1"/>
    <w:uiPriority w:val="9"/>
    <w:rsid w:val="00072CAD"/>
    <w:rPr>
      <w:rFonts w:asciiTheme="majorHAnsi" w:eastAsiaTheme="majorEastAsia" w:hAnsiTheme="majorHAnsi" w:cstheme="majorBidi"/>
      <w:color w:val="365F91" w:themeColor="accent1" w:themeShade="BF"/>
      <w:sz w:val="32"/>
      <w:szCs w:val="32"/>
    </w:rPr>
  </w:style>
  <w:style w:type="table" w:styleId="Tabladecuadrcula1clara">
    <w:name w:val="Grid Table 1 Light"/>
    <w:basedOn w:val="Tablanormal"/>
    <w:uiPriority w:val="46"/>
    <w:rsid w:val="00CB149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p-section-paragraph">
    <w:name w:val="cp-section-paragraph"/>
    <w:basedOn w:val="Normal"/>
    <w:rsid w:val="00504976"/>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504976"/>
    <w:rPr>
      <w:b/>
      <w:bCs/>
    </w:rPr>
  </w:style>
  <w:style w:type="character" w:customStyle="1" w:styleId="PrrafodelistaCar">
    <w:name w:val="Párrafo de lista Car"/>
    <w:basedOn w:val="Fuentedeprrafopredeter"/>
    <w:link w:val="Prrafodelista"/>
    <w:uiPriority w:val="34"/>
    <w:rsid w:val="006D56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4108">
      <w:bodyDiv w:val="1"/>
      <w:marLeft w:val="0"/>
      <w:marRight w:val="0"/>
      <w:marTop w:val="0"/>
      <w:marBottom w:val="0"/>
      <w:divBdr>
        <w:top w:val="none" w:sz="0" w:space="0" w:color="auto"/>
        <w:left w:val="none" w:sz="0" w:space="0" w:color="auto"/>
        <w:bottom w:val="none" w:sz="0" w:space="0" w:color="auto"/>
        <w:right w:val="none" w:sz="0" w:space="0" w:color="auto"/>
      </w:divBdr>
    </w:div>
    <w:div w:id="17658824">
      <w:bodyDiv w:val="1"/>
      <w:marLeft w:val="0"/>
      <w:marRight w:val="0"/>
      <w:marTop w:val="0"/>
      <w:marBottom w:val="0"/>
      <w:divBdr>
        <w:top w:val="none" w:sz="0" w:space="0" w:color="auto"/>
        <w:left w:val="none" w:sz="0" w:space="0" w:color="auto"/>
        <w:bottom w:val="none" w:sz="0" w:space="0" w:color="auto"/>
        <w:right w:val="none" w:sz="0" w:space="0" w:color="auto"/>
      </w:divBdr>
    </w:div>
    <w:div w:id="25953381">
      <w:bodyDiv w:val="1"/>
      <w:marLeft w:val="0"/>
      <w:marRight w:val="0"/>
      <w:marTop w:val="0"/>
      <w:marBottom w:val="0"/>
      <w:divBdr>
        <w:top w:val="none" w:sz="0" w:space="0" w:color="auto"/>
        <w:left w:val="none" w:sz="0" w:space="0" w:color="auto"/>
        <w:bottom w:val="none" w:sz="0" w:space="0" w:color="auto"/>
        <w:right w:val="none" w:sz="0" w:space="0" w:color="auto"/>
      </w:divBdr>
    </w:div>
    <w:div w:id="54086833">
      <w:bodyDiv w:val="1"/>
      <w:marLeft w:val="0"/>
      <w:marRight w:val="0"/>
      <w:marTop w:val="0"/>
      <w:marBottom w:val="0"/>
      <w:divBdr>
        <w:top w:val="none" w:sz="0" w:space="0" w:color="auto"/>
        <w:left w:val="none" w:sz="0" w:space="0" w:color="auto"/>
        <w:bottom w:val="none" w:sz="0" w:space="0" w:color="auto"/>
        <w:right w:val="none" w:sz="0" w:space="0" w:color="auto"/>
      </w:divBdr>
    </w:div>
    <w:div w:id="58333367">
      <w:bodyDiv w:val="1"/>
      <w:marLeft w:val="0"/>
      <w:marRight w:val="0"/>
      <w:marTop w:val="0"/>
      <w:marBottom w:val="0"/>
      <w:divBdr>
        <w:top w:val="none" w:sz="0" w:space="0" w:color="auto"/>
        <w:left w:val="none" w:sz="0" w:space="0" w:color="auto"/>
        <w:bottom w:val="none" w:sz="0" w:space="0" w:color="auto"/>
        <w:right w:val="none" w:sz="0" w:space="0" w:color="auto"/>
      </w:divBdr>
    </w:div>
    <w:div w:id="135343597">
      <w:bodyDiv w:val="1"/>
      <w:marLeft w:val="0"/>
      <w:marRight w:val="0"/>
      <w:marTop w:val="0"/>
      <w:marBottom w:val="0"/>
      <w:divBdr>
        <w:top w:val="none" w:sz="0" w:space="0" w:color="auto"/>
        <w:left w:val="none" w:sz="0" w:space="0" w:color="auto"/>
        <w:bottom w:val="none" w:sz="0" w:space="0" w:color="auto"/>
        <w:right w:val="none" w:sz="0" w:space="0" w:color="auto"/>
      </w:divBdr>
    </w:div>
    <w:div w:id="161044440">
      <w:bodyDiv w:val="1"/>
      <w:marLeft w:val="0"/>
      <w:marRight w:val="0"/>
      <w:marTop w:val="0"/>
      <w:marBottom w:val="0"/>
      <w:divBdr>
        <w:top w:val="none" w:sz="0" w:space="0" w:color="auto"/>
        <w:left w:val="none" w:sz="0" w:space="0" w:color="auto"/>
        <w:bottom w:val="none" w:sz="0" w:space="0" w:color="auto"/>
        <w:right w:val="none" w:sz="0" w:space="0" w:color="auto"/>
      </w:divBdr>
    </w:div>
    <w:div w:id="185943374">
      <w:bodyDiv w:val="1"/>
      <w:marLeft w:val="0"/>
      <w:marRight w:val="0"/>
      <w:marTop w:val="0"/>
      <w:marBottom w:val="0"/>
      <w:divBdr>
        <w:top w:val="none" w:sz="0" w:space="0" w:color="auto"/>
        <w:left w:val="none" w:sz="0" w:space="0" w:color="auto"/>
        <w:bottom w:val="none" w:sz="0" w:space="0" w:color="auto"/>
        <w:right w:val="none" w:sz="0" w:space="0" w:color="auto"/>
      </w:divBdr>
    </w:div>
    <w:div w:id="190799764">
      <w:bodyDiv w:val="1"/>
      <w:marLeft w:val="0"/>
      <w:marRight w:val="0"/>
      <w:marTop w:val="0"/>
      <w:marBottom w:val="0"/>
      <w:divBdr>
        <w:top w:val="none" w:sz="0" w:space="0" w:color="auto"/>
        <w:left w:val="none" w:sz="0" w:space="0" w:color="auto"/>
        <w:bottom w:val="none" w:sz="0" w:space="0" w:color="auto"/>
        <w:right w:val="none" w:sz="0" w:space="0" w:color="auto"/>
      </w:divBdr>
    </w:div>
    <w:div w:id="198861469">
      <w:bodyDiv w:val="1"/>
      <w:marLeft w:val="0"/>
      <w:marRight w:val="0"/>
      <w:marTop w:val="0"/>
      <w:marBottom w:val="0"/>
      <w:divBdr>
        <w:top w:val="none" w:sz="0" w:space="0" w:color="auto"/>
        <w:left w:val="none" w:sz="0" w:space="0" w:color="auto"/>
        <w:bottom w:val="none" w:sz="0" w:space="0" w:color="auto"/>
        <w:right w:val="none" w:sz="0" w:space="0" w:color="auto"/>
      </w:divBdr>
    </w:div>
    <w:div w:id="221716027">
      <w:bodyDiv w:val="1"/>
      <w:marLeft w:val="0"/>
      <w:marRight w:val="0"/>
      <w:marTop w:val="0"/>
      <w:marBottom w:val="0"/>
      <w:divBdr>
        <w:top w:val="none" w:sz="0" w:space="0" w:color="auto"/>
        <w:left w:val="none" w:sz="0" w:space="0" w:color="auto"/>
        <w:bottom w:val="none" w:sz="0" w:space="0" w:color="auto"/>
        <w:right w:val="none" w:sz="0" w:space="0" w:color="auto"/>
      </w:divBdr>
    </w:div>
    <w:div w:id="223760603">
      <w:bodyDiv w:val="1"/>
      <w:marLeft w:val="0"/>
      <w:marRight w:val="0"/>
      <w:marTop w:val="0"/>
      <w:marBottom w:val="0"/>
      <w:divBdr>
        <w:top w:val="none" w:sz="0" w:space="0" w:color="auto"/>
        <w:left w:val="none" w:sz="0" w:space="0" w:color="auto"/>
        <w:bottom w:val="none" w:sz="0" w:space="0" w:color="auto"/>
        <w:right w:val="none" w:sz="0" w:space="0" w:color="auto"/>
      </w:divBdr>
    </w:div>
    <w:div w:id="229199936">
      <w:bodyDiv w:val="1"/>
      <w:marLeft w:val="0"/>
      <w:marRight w:val="0"/>
      <w:marTop w:val="0"/>
      <w:marBottom w:val="0"/>
      <w:divBdr>
        <w:top w:val="none" w:sz="0" w:space="0" w:color="auto"/>
        <w:left w:val="none" w:sz="0" w:space="0" w:color="auto"/>
        <w:bottom w:val="none" w:sz="0" w:space="0" w:color="auto"/>
        <w:right w:val="none" w:sz="0" w:space="0" w:color="auto"/>
      </w:divBdr>
    </w:div>
    <w:div w:id="231548228">
      <w:bodyDiv w:val="1"/>
      <w:marLeft w:val="0"/>
      <w:marRight w:val="0"/>
      <w:marTop w:val="0"/>
      <w:marBottom w:val="0"/>
      <w:divBdr>
        <w:top w:val="none" w:sz="0" w:space="0" w:color="auto"/>
        <w:left w:val="none" w:sz="0" w:space="0" w:color="auto"/>
        <w:bottom w:val="none" w:sz="0" w:space="0" w:color="auto"/>
        <w:right w:val="none" w:sz="0" w:space="0" w:color="auto"/>
      </w:divBdr>
    </w:div>
    <w:div w:id="250822128">
      <w:bodyDiv w:val="1"/>
      <w:marLeft w:val="0"/>
      <w:marRight w:val="0"/>
      <w:marTop w:val="0"/>
      <w:marBottom w:val="0"/>
      <w:divBdr>
        <w:top w:val="none" w:sz="0" w:space="0" w:color="auto"/>
        <w:left w:val="none" w:sz="0" w:space="0" w:color="auto"/>
        <w:bottom w:val="none" w:sz="0" w:space="0" w:color="auto"/>
        <w:right w:val="none" w:sz="0" w:space="0" w:color="auto"/>
      </w:divBdr>
    </w:div>
    <w:div w:id="287661345">
      <w:bodyDiv w:val="1"/>
      <w:marLeft w:val="0"/>
      <w:marRight w:val="0"/>
      <w:marTop w:val="0"/>
      <w:marBottom w:val="0"/>
      <w:divBdr>
        <w:top w:val="none" w:sz="0" w:space="0" w:color="auto"/>
        <w:left w:val="none" w:sz="0" w:space="0" w:color="auto"/>
        <w:bottom w:val="none" w:sz="0" w:space="0" w:color="auto"/>
        <w:right w:val="none" w:sz="0" w:space="0" w:color="auto"/>
      </w:divBdr>
    </w:div>
    <w:div w:id="302080904">
      <w:bodyDiv w:val="1"/>
      <w:marLeft w:val="0"/>
      <w:marRight w:val="0"/>
      <w:marTop w:val="0"/>
      <w:marBottom w:val="0"/>
      <w:divBdr>
        <w:top w:val="none" w:sz="0" w:space="0" w:color="auto"/>
        <w:left w:val="none" w:sz="0" w:space="0" w:color="auto"/>
        <w:bottom w:val="none" w:sz="0" w:space="0" w:color="auto"/>
        <w:right w:val="none" w:sz="0" w:space="0" w:color="auto"/>
      </w:divBdr>
    </w:div>
    <w:div w:id="313872291">
      <w:bodyDiv w:val="1"/>
      <w:marLeft w:val="0"/>
      <w:marRight w:val="0"/>
      <w:marTop w:val="0"/>
      <w:marBottom w:val="0"/>
      <w:divBdr>
        <w:top w:val="none" w:sz="0" w:space="0" w:color="auto"/>
        <w:left w:val="none" w:sz="0" w:space="0" w:color="auto"/>
        <w:bottom w:val="none" w:sz="0" w:space="0" w:color="auto"/>
        <w:right w:val="none" w:sz="0" w:space="0" w:color="auto"/>
      </w:divBdr>
    </w:div>
    <w:div w:id="331032635">
      <w:bodyDiv w:val="1"/>
      <w:marLeft w:val="0"/>
      <w:marRight w:val="0"/>
      <w:marTop w:val="0"/>
      <w:marBottom w:val="0"/>
      <w:divBdr>
        <w:top w:val="none" w:sz="0" w:space="0" w:color="auto"/>
        <w:left w:val="none" w:sz="0" w:space="0" w:color="auto"/>
        <w:bottom w:val="none" w:sz="0" w:space="0" w:color="auto"/>
        <w:right w:val="none" w:sz="0" w:space="0" w:color="auto"/>
      </w:divBdr>
    </w:div>
    <w:div w:id="352848045">
      <w:bodyDiv w:val="1"/>
      <w:marLeft w:val="0"/>
      <w:marRight w:val="0"/>
      <w:marTop w:val="0"/>
      <w:marBottom w:val="0"/>
      <w:divBdr>
        <w:top w:val="none" w:sz="0" w:space="0" w:color="auto"/>
        <w:left w:val="none" w:sz="0" w:space="0" w:color="auto"/>
        <w:bottom w:val="none" w:sz="0" w:space="0" w:color="auto"/>
        <w:right w:val="none" w:sz="0" w:space="0" w:color="auto"/>
      </w:divBdr>
    </w:div>
    <w:div w:id="358314104">
      <w:bodyDiv w:val="1"/>
      <w:marLeft w:val="0"/>
      <w:marRight w:val="0"/>
      <w:marTop w:val="0"/>
      <w:marBottom w:val="0"/>
      <w:divBdr>
        <w:top w:val="none" w:sz="0" w:space="0" w:color="auto"/>
        <w:left w:val="none" w:sz="0" w:space="0" w:color="auto"/>
        <w:bottom w:val="none" w:sz="0" w:space="0" w:color="auto"/>
        <w:right w:val="none" w:sz="0" w:space="0" w:color="auto"/>
      </w:divBdr>
    </w:div>
    <w:div w:id="389350563">
      <w:bodyDiv w:val="1"/>
      <w:marLeft w:val="0"/>
      <w:marRight w:val="0"/>
      <w:marTop w:val="0"/>
      <w:marBottom w:val="0"/>
      <w:divBdr>
        <w:top w:val="none" w:sz="0" w:space="0" w:color="auto"/>
        <w:left w:val="none" w:sz="0" w:space="0" w:color="auto"/>
        <w:bottom w:val="none" w:sz="0" w:space="0" w:color="auto"/>
        <w:right w:val="none" w:sz="0" w:space="0" w:color="auto"/>
      </w:divBdr>
    </w:div>
    <w:div w:id="391389267">
      <w:bodyDiv w:val="1"/>
      <w:marLeft w:val="0"/>
      <w:marRight w:val="0"/>
      <w:marTop w:val="0"/>
      <w:marBottom w:val="0"/>
      <w:divBdr>
        <w:top w:val="none" w:sz="0" w:space="0" w:color="auto"/>
        <w:left w:val="none" w:sz="0" w:space="0" w:color="auto"/>
        <w:bottom w:val="none" w:sz="0" w:space="0" w:color="auto"/>
        <w:right w:val="none" w:sz="0" w:space="0" w:color="auto"/>
      </w:divBdr>
    </w:div>
    <w:div w:id="401949097">
      <w:bodyDiv w:val="1"/>
      <w:marLeft w:val="0"/>
      <w:marRight w:val="0"/>
      <w:marTop w:val="0"/>
      <w:marBottom w:val="0"/>
      <w:divBdr>
        <w:top w:val="none" w:sz="0" w:space="0" w:color="auto"/>
        <w:left w:val="none" w:sz="0" w:space="0" w:color="auto"/>
        <w:bottom w:val="none" w:sz="0" w:space="0" w:color="auto"/>
        <w:right w:val="none" w:sz="0" w:space="0" w:color="auto"/>
      </w:divBdr>
    </w:div>
    <w:div w:id="451024642">
      <w:bodyDiv w:val="1"/>
      <w:marLeft w:val="0"/>
      <w:marRight w:val="0"/>
      <w:marTop w:val="0"/>
      <w:marBottom w:val="0"/>
      <w:divBdr>
        <w:top w:val="none" w:sz="0" w:space="0" w:color="auto"/>
        <w:left w:val="none" w:sz="0" w:space="0" w:color="auto"/>
        <w:bottom w:val="none" w:sz="0" w:space="0" w:color="auto"/>
        <w:right w:val="none" w:sz="0" w:space="0" w:color="auto"/>
      </w:divBdr>
    </w:div>
    <w:div w:id="506991240">
      <w:bodyDiv w:val="1"/>
      <w:marLeft w:val="0"/>
      <w:marRight w:val="0"/>
      <w:marTop w:val="0"/>
      <w:marBottom w:val="0"/>
      <w:divBdr>
        <w:top w:val="none" w:sz="0" w:space="0" w:color="auto"/>
        <w:left w:val="none" w:sz="0" w:space="0" w:color="auto"/>
        <w:bottom w:val="none" w:sz="0" w:space="0" w:color="auto"/>
        <w:right w:val="none" w:sz="0" w:space="0" w:color="auto"/>
      </w:divBdr>
    </w:div>
    <w:div w:id="524683659">
      <w:bodyDiv w:val="1"/>
      <w:marLeft w:val="0"/>
      <w:marRight w:val="0"/>
      <w:marTop w:val="0"/>
      <w:marBottom w:val="0"/>
      <w:divBdr>
        <w:top w:val="none" w:sz="0" w:space="0" w:color="auto"/>
        <w:left w:val="none" w:sz="0" w:space="0" w:color="auto"/>
        <w:bottom w:val="none" w:sz="0" w:space="0" w:color="auto"/>
        <w:right w:val="none" w:sz="0" w:space="0" w:color="auto"/>
      </w:divBdr>
    </w:div>
    <w:div w:id="528565400">
      <w:bodyDiv w:val="1"/>
      <w:marLeft w:val="0"/>
      <w:marRight w:val="0"/>
      <w:marTop w:val="0"/>
      <w:marBottom w:val="0"/>
      <w:divBdr>
        <w:top w:val="none" w:sz="0" w:space="0" w:color="auto"/>
        <w:left w:val="none" w:sz="0" w:space="0" w:color="auto"/>
        <w:bottom w:val="none" w:sz="0" w:space="0" w:color="auto"/>
        <w:right w:val="none" w:sz="0" w:space="0" w:color="auto"/>
      </w:divBdr>
    </w:div>
    <w:div w:id="528571310">
      <w:bodyDiv w:val="1"/>
      <w:marLeft w:val="0"/>
      <w:marRight w:val="0"/>
      <w:marTop w:val="0"/>
      <w:marBottom w:val="0"/>
      <w:divBdr>
        <w:top w:val="none" w:sz="0" w:space="0" w:color="auto"/>
        <w:left w:val="none" w:sz="0" w:space="0" w:color="auto"/>
        <w:bottom w:val="none" w:sz="0" w:space="0" w:color="auto"/>
        <w:right w:val="none" w:sz="0" w:space="0" w:color="auto"/>
      </w:divBdr>
    </w:div>
    <w:div w:id="553780027">
      <w:bodyDiv w:val="1"/>
      <w:marLeft w:val="0"/>
      <w:marRight w:val="0"/>
      <w:marTop w:val="0"/>
      <w:marBottom w:val="0"/>
      <w:divBdr>
        <w:top w:val="none" w:sz="0" w:space="0" w:color="auto"/>
        <w:left w:val="none" w:sz="0" w:space="0" w:color="auto"/>
        <w:bottom w:val="none" w:sz="0" w:space="0" w:color="auto"/>
        <w:right w:val="none" w:sz="0" w:space="0" w:color="auto"/>
      </w:divBdr>
    </w:div>
    <w:div w:id="558902290">
      <w:bodyDiv w:val="1"/>
      <w:marLeft w:val="0"/>
      <w:marRight w:val="0"/>
      <w:marTop w:val="0"/>
      <w:marBottom w:val="0"/>
      <w:divBdr>
        <w:top w:val="none" w:sz="0" w:space="0" w:color="auto"/>
        <w:left w:val="none" w:sz="0" w:space="0" w:color="auto"/>
        <w:bottom w:val="none" w:sz="0" w:space="0" w:color="auto"/>
        <w:right w:val="none" w:sz="0" w:space="0" w:color="auto"/>
      </w:divBdr>
    </w:div>
    <w:div w:id="584846792">
      <w:bodyDiv w:val="1"/>
      <w:marLeft w:val="0"/>
      <w:marRight w:val="0"/>
      <w:marTop w:val="0"/>
      <w:marBottom w:val="0"/>
      <w:divBdr>
        <w:top w:val="none" w:sz="0" w:space="0" w:color="auto"/>
        <w:left w:val="none" w:sz="0" w:space="0" w:color="auto"/>
        <w:bottom w:val="none" w:sz="0" w:space="0" w:color="auto"/>
        <w:right w:val="none" w:sz="0" w:space="0" w:color="auto"/>
      </w:divBdr>
    </w:div>
    <w:div w:id="597174038">
      <w:bodyDiv w:val="1"/>
      <w:marLeft w:val="0"/>
      <w:marRight w:val="0"/>
      <w:marTop w:val="0"/>
      <w:marBottom w:val="0"/>
      <w:divBdr>
        <w:top w:val="none" w:sz="0" w:space="0" w:color="auto"/>
        <w:left w:val="none" w:sz="0" w:space="0" w:color="auto"/>
        <w:bottom w:val="none" w:sz="0" w:space="0" w:color="auto"/>
        <w:right w:val="none" w:sz="0" w:space="0" w:color="auto"/>
      </w:divBdr>
    </w:div>
    <w:div w:id="606545334">
      <w:bodyDiv w:val="1"/>
      <w:marLeft w:val="0"/>
      <w:marRight w:val="0"/>
      <w:marTop w:val="0"/>
      <w:marBottom w:val="0"/>
      <w:divBdr>
        <w:top w:val="none" w:sz="0" w:space="0" w:color="auto"/>
        <w:left w:val="none" w:sz="0" w:space="0" w:color="auto"/>
        <w:bottom w:val="none" w:sz="0" w:space="0" w:color="auto"/>
        <w:right w:val="none" w:sz="0" w:space="0" w:color="auto"/>
      </w:divBdr>
    </w:div>
    <w:div w:id="613943655">
      <w:bodyDiv w:val="1"/>
      <w:marLeft w:val="0"/>
      <w:marRight w:val="0"/>
      <w:marTop w:val="0"/>
      <w:marBottom w:val="0"/>
      <w:divBdr>
        <w:top w:val="none" w:sz="0" w:space="0" w:color="auto"/>
        <w:left w:val="none" w:sz="0" w:space="0" w:color="auto"/>
        <w:bottom w:val="none" w:sz="0" w:space="0" w:color="auto"/>
        <w:right w:val="none" w:sz="0" w:space="0" w:color="auto"/>
      </w:divBdr>
    </w:div>
    <w:div w:id="622658701">
      <w:bodyDiv w:val="1"/>
      <w:marLeft w:val="0"/>
      <w:marRight w:val="0"/>
      <w:marTop w:val="0"/>
      <w:marBottom w:val="0"/>
      <w:divBdr>
        <w:top w:val="none" w:sz="0" w:space="0" w:color="auto"/>
        <w:left w:val="none" w:sz="0" w:space="0" w:color="auto"/>
        <w:bottom w:val="none" w:sz="0" w:space="0" w:color="auto"/>
        <w:right w:val="none" w:sz="0" w:space="0" w:color="auto"/>
      </w:divBdr>
    </w:div>
    <w:div w:id="639922381">
      <w:bodyDiv w:val="1"/>
      <w:marLeft w:val="0"/>
      <w:marRight w:val="0"/>
      <w:marTop w:val="0"/>
      <w:marBottom w:val="0"/>
      <w:divBdr>
        <w:top w:val="none" w:sz="0" w:space="0" w:color="auto"/>
        <w:left w:val="none" w:sz="0" w:space="0" w:color="auto"/>
        <w:bottom w:val="none" w:sz="0" w:space="0" w:color="auto"/>
        <w:right w:val="none" w:sz="0" w:space="0" w:color="auto"/>
      </w:divBdr>
    </w:div>
    <w:div w:id="641740252">
      <w:bodyDiv w:val="1"/>
      <w:marLeft w:val="0"/>
      <w:marRight w:val="0"/>
      <w:marTop w:val="0"/>
      <w:marBottom w:val="0"/>
      <w:divBdr>
        <w:top w:val="none" w:sz="0" w:space="0" w:color="auto"/>
        <w:left w:val="none" w:sz="0" w:space="0" w:color="auto"/>
        <w:bottom w:val="none" w:sz="0" w:space="0" w:color="auto"/>
        <w:right w:val="none" w:sz="0" w:space="0" w:color="auto"/>
      </w:divBdr>
    </w:div>
    <w:div w:id="680011984">
      <w:bodyDiv w:val="1"/>
      <w:marLeft w:val="0"/>
      <w:marRight w:val="0"/>
      <w:marTop w:val="0"/>
      <w:marBottom w:val="0"/>
      <w:divBdr>
        <w:top w:val="none" w:sz="0" w:space="0" w:color="auto"/>
        <w:left w:val="none" w:sz="0" w:space="0" w:color="auto"/>
        <w:bottom w:val="none" w:sz="0" w:space="0" w:color="auto"/>
        <w:right w:val="none" w:sz="0" w:space="0" w:color="auto"/>
      </w:divBdr>
    </w:div>
    <w:div w:id="686055342">
      <w:bodyDiv w:val="1"/>
      <w:marLeft w:val="0"/>
      <w:marRight w:val="0"/>
      <w:marTop w:val="0"/>
      <w:marBottom w:val="0"/>
      <w:divBdr>
        <w:top w:val="none" w:sz="0" w:space="0" w:color="auto"/>
        <w:left w:val="none" w:sz="0" w:space="0" w:color="auto"/>
        <w:bottom w:val="none" w:sz="0" w:space="0" w:color="auto"/>
        <w:right w:val="none" w:sz="0" w:space="0" w:color="auto"/>
      </w:divBdr>
    </w:div>
    <w:div w:id="718633602">
      <w:bodyDiv w:val="1"/>
      <w:marLeft w:val="0"/>
      <w:marRight w:val="0"/>
      <w:marTop w:val="0"/>
      <w:marBottom w:val="0"/>
      <w:divBdr>
        <w:top w:val="none" w:sz="0" w:space="0" w:color="auto"/>
        <w:left w:val="none" w:sz="0" w:space="0" w:color="auto"/>
        <w:bottom w:val="none" w:sz="0" w:space="0" w:color="auto"/>
        <w:right w:val="none" w:sz="0" w:space="0" w:color="auto"/>
      </w:divBdr>
    </w:div>
    <w:div w:id="723677355">
      <w:bodyDiv w:val="1"/>
      <w:marLeft w:val="0"/>
      <w:marRight w:val="0"/>
      <w:marTop w:val="0"/>
      <w:marBottom w:val="0"/>
      <w:divBdr>
        <w:top w:val="none" w:sz="0" w:space="0" w:color="auto"/>
        <w:left w:val="none" w:sz="0" w:space="0" w:color="auto"/>
        <w:bottom w:val="none" w:sz="0" w:space="0" w:color="auto"/>
        <w:right w:val="none" w:sz="0" w:space="0" w:color="auto"/>
      </w:divBdr>
    </w:div>
    <w:div w:id="734813004">
      <w:bodyDiv w:val="1"/>
      <w:marLeft w:val="0"/>
      <w:marRight w:val="0"/>
      <w:marTop w:val="0"/>
      <w:marBottom w:val="0"/>
      <w:divBdr>
        <w:top w:val="none" w:sz="0" w:space="0" w:color="auto"/>
        <w:left w:val="none" w:sz="0" w:space="0" w:color="auto"/>
        <w:bottom w:val="none" w:sz="0" w:space="0" w:color="auto"/>
        <w:right w:val="none" w:sz="0" w:space="0" w:color="auto"/>
      </w:divBdr>
    </w:div>
    <w:div w:id="738599687">
      <w:bodyDiv w:val="1"/>
      <w:marLeft w:val="0"/>
      <w:marRight w:val="0"/>
      <w:marTop w:val="0"/>
      <w:marBottom w:val="0"/>
      <w:divBdr>
        <w:top w:val="none" w:sz="0" w:space="0" w:color="auto"/>
        <w:left w:val="none" w:sz="0" w:space="0" w:color="auto"/>
        <w:bottom w:val="none" w:sz="0" w:space="0" w:color="auto"/>
        <w:right w:val="none" w:sz="0" w:space="0" w:color="auto"/>
      </w:divBdr>
    </w:div>
    <w:div w:id="749346810">
      <w:bodyDiv w:val="1"/>
      <w:marLeft w:val="0"/>
      <w:marRight w:val="0"/>
      <w:marTop w:val="0"/>
      <w:marBottom w:val="0"/>
      <w:divBdr>
        <w:top w:val="none" w:sz="0" w:space="0" w:color="auto"/>
        <w:left w:val="none" w:sz="0" w:space="0" w:color="auto"/>
        <w:bottom w:val="none" w:sz="0" w:space="0" w:color="auto"/>
        <w:right w:val="none" w:sz="0" w:space="0" w:color="auto"/>
      </w:divBdr>
    </w:div>
    <w:div w:id="751317979">
      <w:bodyDiv w:val="1"/>
      <w:marLeft w:val="0"/>
      <w:marRight w:val="0"/>
      <w:marTop w:val="0"/>
      <w:marBottom w:val="0"/>
      <w:divBdr>
        <w:top w:val="none" w:sz="0" w:space="0" w:color="auto"/>
        <w:left w:val="none" w:sz="0" w:space="0" w:color="auto"/>
        <w:bottom w:val="none" w:sz="0" w:space="0" w:color="auto"/>
        <w:right w:val="none" w:sz="0" w:space="0" w:color="auto"/>
      </w:divBdr>
    </w:div>
    <w:div w:id="754008814">
      <w:bodyDiv w:val="1"/>
      <w:marLeft w:val="0"/>
      <w:marRight w:val="0"/>
      <w:marTop w:val="0"/>
      <w:marBottom w:val="0"/>
      <w:divBdr>
        <w:top w:val="none" w:sz="0" w:space="0" w:color="auto"/>
        <w:left w:val="none" w:sz="0" w:space="0" w:color="auto"/>
        <w:bottom w:val="none" w:sz="0" w:space="0" w:color="auto"/>
        <w:right w:val="none" w:sz="0" w:space="0" w:color="auto"/>
      </w:divBdr>
    </w:div>
    <w:div w:id="787044817">
      <w:bodyDiv w:val="1"/>
      <w:marLeft w:val="0"/>
      <w:marRight w:val="0"/>
      <w:marTop w:val="0"/>
      <w:marBottom w:val="0"/>
      <w:divBdr>
        <w:top w:val="none" w:sz="0" w:space="0" w:color="auto"/>
        <w:left w:val="none" w:sz="0" w:space="0" w:color="auto"/>
        <w:bottom w:val="none" w:sz="0" w:space="0" w:color="auto"/>
        <w:right w:val="none" w:sz="0" w:space="0" w:color="auto"/>
      </w:divBdr>
    </w:div>
    <w:div w:id="796803489">
      <w:bodyDiv w:val="1"/>
      <w:marLeft w:val="0"/>
      <w:marRight w:val="0"/>
      <w:marTop w:val="0"/>
      <w:marBottom w:val="0"/>
      <w:divBdr>
        <w:top w:val="none" w:sz="0" w:space="0" w:color="auto"/>
        <w:left w:val="none" w:sz="0" w:space="0" w:color="auto"/>
        <w:bottom w:val="none" w:sz="0" w:space="0" w:color="auto"/>
        <w:right w:val="none" w:sz="0" w:space="0" w:color="auto"/>
      </w:divBdr>
    </w:div>
    <w:div w:id="829563995">
      <w:bodyDiv w:val="1"/>
      <w:marLeft w:val="0"/>
      <w:marRight w:val="0"/>
      <w:marTop w:val="0"/>
      <w:marBottom w:val="0"/>
      <w:divBdr>
        <w:top w:val="none" w:sz="0" w:space="0" w:color="auto"/>
        <w:left w:val="none" w:sz="0" w:space="0" w:color="auto"/>
        <w:bottom w:val="none" w:sz="0" w:space="0" w:color="auto"/>
        <w:right w:val="none" w:sz="0" w:space="0" w:color="auto"/>
      </w:divBdr>
    </w:div>
    <w:div w:id="831874930">
      <w:bodyDiv w:val="1"/>
      <w:marLeft w:val="0"/>
      <w:marRight w:val="0"/>
      <w:marTop w:val="0"/>
      <w:marBottom w:val="0"/>
      <w:divBdr>
        <w:top w:val="none" w:sz="0" w:space="0" w:color="auto"/>
        <w:left w:val="none" w:sz="0" w:space="0" w:color="auto"/>
        <w:bottom w:val="none" w:sz="0" w:space="0" w:color="auto"/>
        <w:right w:val="none" w:sz="0" w:space="0" w:color="auto"/>
      </w:divBdr>
    </w:div>
    <w:div w:id="832837406">
      <w:bodyDiv w:val="1"/>
      <w:marLeft w:val="0"/>
      <w:marRight w:val="0"/>
      <w:marTop w:val="0"/>
      <w:marBottom w:val="0"/>
      <w:divBdr>
        <w:top w:val="none" w:sz="0" w:space="0" w:color="auto"/>
        <w:left w:val="none" w:sz="0" w:space="0" w:color="auto"/>
        <w:bottom w:val="none" w:sz="0" w:space="0" w:color="auto"/>
        <w:right w:val="none" w:sz="0" w:space="0" w:color="auto"/>
      </w:divBdr>
    </w:div>
    <w:div w:id="845480161">
      <w:bodyDiv w:val="1"/>
      <w:marLeft w:val="0"/>
      <w:marRight w:val="0"/>
      <w:marTop w:val="0"/>
      <w:marBottom w:val="0"/>
      <w:divBdr>
        <w:top w:val="none" w:sz="0" w:space="0" w:color="auto"/>
        <w:left w:val="none" w:sz="0" w:space="0" w:color="auto"/>
        <w:bottom w:val="none" w:sz="0" w:space="0" w:color="auto"/>
        <w:right w:val="none" w:sz="0" w:space="0" w:color="auto"/>
      </w:divBdr>
    </w:div>
    <w:div w:id="849683527">
      <w:bodyDiv w:val="1"/>
      <w:marLeft w:val="0"/>
      <w:marRight w:val="0"/>
      <w:marTop w:val="0"/>
      <w:marBottom w:val="0"/>
      <w:divBdr>
        <w:top w:val="none" w:sz="0" w:space="0" w:color="auto"/>
        <w:left w:val="none" w:sz="0" w:space="0" w:color="auto"/>
        <w:bottom w:val="none" w:sz="0" w:space="0" w:color="auto"/>
        <w:right w:val="none" w:sz="0" w:space="0" w:color="auto"/>
      </w:divBdr>
    </w:div>
    <w:div w:id="850333954">
      <w:bodyDiv w:val="1"/>
      <w:marLeft w:val="0"/>
      <w:marRight w:val="0"/>
      <w:marTop w:val="0"/>
      <w:marBottom w:val="0"/>
      <w:divBdr>
        <w:top w:val="none" w:sz="0" w:space="0" w:color="auto"/>
        <w:left w:val="none" w:sz="0" w:space="0" w:color="auto"/>
        <w:bottom w:val="none" w:sz="0" w:space="0" w:color="auto"/>
        <w:right w:val="none" w:sz="0" w:space="0" w:color="auto"/>
      </w:divBdr>
    </w:div>
    <w:div w:id="856234322">
      <w:bodyDiv w:val="1"/>
      <w:marLeft w:val="0"/>
      <w:marRight w:val="0"/>
      <w:marTop w:val="0"/>
      <w:marBottom w:val="0"/>
      <w:divBdr>
        <w:top w:val="none" w:sz="0" w:space="0" w:color="auto"/>
        <w:left w:val="none" w:sz="0" w:space="0" w:color="auto"/>
        <w:bottom w:val="none" w:sz="0" w:space="0" w:color="auto"/>
        <w:right w:val="none" w:sz="0" w:space="0" w:color="auto"/>
      </w:divBdr>
    </w:div>
    <w:div w:id="860241716">
      <w:bodyDiv w:val="1"/>
      <w:marLeft w:val="0"/>
      <w:marRight w:val="0"/>
      <w:marTop w:val="0"/>
      <w:marBottom w:val="0"/>
      <w:divBdr>
        <w:top w:val="none" w:sz="0" w:space="0" w:color="auto"/>
        <w:left w:val="none" w:sz="0" w:space="0" w:color="auto"/>
        <w:bottom w:val="none" w:sz="0" w:space="0" w:color="auto"/>
        <w:right w:val="none" w:sz="0" w:space="0" w:color="auto"/>
      </w:divBdr>
    </w:div>
    <w:div w:id="862016266">
      <w:bodyDiv w:val="1"/>
      <w:marLeft w:val="0"/>
      <w:marRight w:val="0"/>
      <w:marTop w:val="0"/>
      <w:marBottom w:val="0"/>
      <w:divBdr>
        <w:top w:val="none" w:sz="0" w:space="0" w:color="auto"/>
        <w:left w:val="none" w:sz="0" w:space="0" w:color="auto"/>
        <w:bottom w:val="none" w:sz="0" w:space="0" w:color="auto"/>
        <w:right w:val="none" w:sz="0" w:space="0" w:color="auto"/>
      </w:divBdr>
    </w:div>
    <w:div w:id="884607896">
      <w:bodyDiv w:val="1"/>
      <w:marLeft w:val="0"/>
      <w:marRight w:val="0"/>
      <w:marTop w:val="0"/>
      <w:marBottom w:val="0"/>
      <w:divBdr>
        <w:top w:val="none" w:sz="0" w:space="0" w:color="auto"/>
        <w:left w:val="none" w:sz="0" w:space="0" w:color="auto"/>
        <w:bottom w:val="none" w:sz="0" w:space="0" w:color="auto"/>
        <w:right w:val="none" w:sz="0" w:space="0" w:color="auto"/>
      </w:divBdr>
    </w:div>
    <w:div w:id="893542331">
      <w:bodyDiv w:val="1"/>
      <w:marLeft w:val="0"/>
      <w:marRight w:val="0"/>
      <w:marTop w:val="0"/>
      <w:marBottom w:val="0"/>
      <w:divBdr>
        <w:top w:val="none" w:sz="0" w:space="0" w:color="auto"/>
        <w:left w:val="none" w:sz="0" w:space="0" w:color="auto"/>
        <w:bottom w:val="none" w:sz="0" w:space="0" w:color="auto"/>
        <w:right w:val="none" w:sz="0" w:space="0" w:color="auto"/>
      </w:divBdr>
    </w:div>
    <w:div w:id="895359050">
      <w:bodyDiv w:val="1"/>
      <w:marLeft w:val="0"/>
      <w:marRight w:val="0"/>
      <w:marTop w:val="0"/>
      <w:marBottom w:val="0"/>
      <w:divBdr>
        <w:top w:val="none" w:sz="0" w:space="0" w:color="auto"/>
        <w:left w:val="none" w:sz="0" w:space="0" w:color="auto"/>
        <w:bottom w:val="none" w:sz="0" w:space="0" w:color="auto"/>
        <w:right w:val="none" w:sz="0" w:space="0" w:color="auto"/>
      </w:divBdr>
    </w:div>
    <w:div w:id="936982864">
      <w:bodyDiv w:val="1"/>
      <w:marLeft w:val="0"/>
      <w:marRight w:val="0"/>
      <w:marTop w:val="0"/>
      <w:marBottom w:val="0"/>
      <w:divBdr>
        <w:top w:val="none" w:sz="0" w:space="0" w:color="auto"/>
        <w:left w:val="none" w:sz="0" w:space="0" w:color="auto"/>
        <w:bottom w:val="none" w:sz="0" w:space="0" w:color="auto"/>
        <w:right w:val="none" w:sz="0" w:space="0" w:color="auto"/>
      </w:divBdr>
    </w:div>
    <w:div w:id="938105542">
      <w:bodyDiv w:val="1"/>
      <w:marLeft w:val="0"/>
      <w:marRight w:val="0"/>
      <w:marTop w:val="0"/>
      <w:marBottom w:val="0"/>
      <w:divBdr>
        <w:top w:val="none" w:sz="0" w:space="0" w:color="auto"/>
        <w:left w:val="none" w:sz="0" w:space="0" w:color="auto"/>
        <w:bottom w:val="none" w:sz="0" w:space="0" w:color="auto"/>
        <w:right w:val="none" w:sz="0" w:space="0" w:color="auto"/>
      </w:divBdr>
    </w:div>
    <w:div w:id="941063218">
      <w:bodyDiv w:val="1"/>
      <w:marLeft w:val="0"/>
      <w:marRight w:val="0"/>
      <w:marTop w:val="0"/>
      <w:marBottom w:val="0"/>
      <w:divBdr>
        <w:top w:val="none" w:sz="0" w:space="0" w:color="auto"/>
        <w:left w:val="none" w:sz="0" w:space="0" w:color="auto"/>
        <w:bottom w:val="none" w:sz="0" w:space="0" w:color="auto"/>
        <w:right w:val="none" w:sz="0" w:space="0" w:color="auto"/>
      </w:divBdr>
    </w:div>
    <w:div w:id="982925811">
      <w:bodyDiv w:val="1"/>
      <w:marLeft w:val="0"/>
      <w:marRight w:val="0"/>
      <w:marTop w:val="0"/>
      <w:marBottom w:val="0"/>
      <w:divBdr>
        <w:top w:val="none" w:sz="0" w:space="0" w:color="auto"/>
        <w:left w:val="none" w:sz="0" w:space="0" w:color="auto"/>
        <w:bottom w:val="none" w:sz="0" w:space="0" w:color="auto"/>
        <w:right w:val="none" w:sz="0" w:space="0" w:color="auto"/>
      </w:divBdr>
    </w:div>
    <w:div w:id="987590102">
      <w:bodyDiv w:val="1"/>
      <w:marLeft w:val="0"/>
      <w:marRight w:val="0"/>
      <w:marTop w:val="0"/>
      <w:marBottom w:val="0"/>
      <w:divBdr>
        <w:top w:val="none" w:sz="0" w:space="0" w:color="auto"/>
        <w:left w:val="none" w:sz="0" w:space="0" w:color="auto"/>
        <w:bottom w:val="none" w:sz="0" w:space="0" w:color="auto"/>
        <w:right w:val="none" w:sz="0" w:space="0" w:color="auto"/>
      </w:divBdr>
    </w:div>
    <w:div w:id="1014527948">
      <w:bodyDiv w:val="1"/>
      <w:marLeft w:val="0"/>
      <w:marRight w:val="0"/>
      <w:marTop w:val="0"/>
      <w:marBottom w:val="0"/>
      <w:divBdr>
        <w:top w:val="none" w:sz="0" w:space="0" w:color="auto"/>
        <w:left w:val="none" w:sz="0" w:space="0" w:color="auto"/>
        <w:bottom w:val="none" w:sz="0" w:space="0" w:color="auto"/>
        <w:right w:val="none" w:sz="0" w:space="0" w:color="auto"/>
      </w:divBdr>
    </w:div>
    <w:div w:id="1014890721">
      <w:bodyDiv w:val="1"/>
      <w:marLeft w:val="0"/>
      <w:marRight w:val="0"/>
      <w:marTop w:val="0"/>
      <w:marBottom w:val="0"/>
      <w:divBdr>
        <w:top w:val="none" w:sz="0" w:space="0" w:color="auto"/>
        <w:left w:val="none" w:sz="0" w:space="0" w:color="auto"/>
        <w:bottom w:val="none" w:sz="0" w:space="0" w:color="auto"/>
        <w:right w:val="none" w:sz="0" w:space="0" w:color="auto"/>
      </w:divBdr>
    </w:div>
    <w:div w:id="1018654378">
      <w:bodyDiv w:val="1"/>
      <w:marLeft w:val="0"/>
      <w:marRight w:val="0"/>
      <w:marTop w:val="0"/>
      <w:marBottom w:val="0"/>
      <w:divBdr>
        <w:top w:val="none" w:sz="0" w:space="0" w:color="auto"/>
        <w:left w:val="none" w:sz="0" w:space="0" w:color="auto"/>
        <w:bottom w:val="none" w:sz="0" w:space="0" w:color="auto"/>
        <w:right w:val="none" w:sz="0" w:space="0" w:color="auto"/>
      </w:divBdr>
    </w:div>
    <w:div w:id="1019356294">
      <w:bodyDiv w:val="1"/>
      <w:marLeft w:val="0"/>
      <w:marRight w:val="0"/>
      <w:marTop w:val="0"/>
      <w:marBottom w:val="0"/>
      <w:divBdr>
        <w:top w:val="none" w:sz="0" w:space="0" w:color="auto"/>
        <w:left w:val="none" w:sz="0" w:space="0" w:color="auto"/>
        <w:bottom w:val="none" w:sz="0" w:space="0" w:color="auto"/>
        <w:right w:val="none" w:sz="0" w:space="0" w:color="auto"/>
      </w:divBdr>
    </w:div>
    <w:div w:id="1021398078">
      <w:bodyDiv w:val="1"/>
      <w:marLeft w:val="0"/>
      <w:marRight w:val="0"/>
      <w:marTop w:val="0"/>
      <w:marBottom w:val="0"/>
      <w:divBdr>
        <w:top w:val="none" w:sz="0" w:space="0" w:color="auto"/>
        <w:left w:val="none" w:sz="0" w:space="0" w:color="auto"/>
        <w:bottom w:val="none" w:sz="0" w:space="0" w:color="auto"/>
        <w:right w:val="none" w:sz="0" w:space="0" w:color="auto"/>
      </w:divBdr>
    </w:div>
    <w:div w:id="1027609387">
      <w:bodyDiv w:val="1"/>
      <w:marLeft w:val="0"/>
      <w:marRight w:val="0"/>
      <w:marTop w:val="0"/>
      <w:marBottom w:val="0"/>
      <w:divBdr>
        <w:top w:val="none" w:sz="0" w:space="0" w:color="auto"/>
        <w:left w:val="none" w:sz="0" w:space="0" w:color="auto"/>
        <w:bottom w:val="none" w:sz="0" w:space="0" w:color="auto"/>
        <w:right w:val="none" w:sz="0" w:space="0" w:color="auto"/>
      </w:divBdr>
    </w:div>
    <w:div w:id="1028870957">
      <w:bodyDiv w:val="1"/>
      <w:marLeft w:val="0"/>
      <w:marRight w:val="0"/>
      <w:marTop w:val="0"/>
      <w:marBottom w:val="0"/>
      <w:divBdr>
        <w:top w:val="none" w:sz="0" w:space="0" w:color="auto"/>
        <w:left w:val="none" w:sz="0" w:space="0" w:color="auto"/>
        <w:bottom w:val="none" w:sz="0" w:space="0" w:color="auto"/>
        <w:right w:val="none" w:sz="0" w:space="0" w:color="auto"/>
      </w:divBdr>
    </w:div>
    <w:div w:id="1032268476">
      <w:bodyDiv w:val="1"/>
      <w:marLeft w:val="0"/>
      <w:marRight w:val="0"/>
      <w:marTop w:val="0"/>
      <w:marBottom w:val="0"/>
      <w:divBdr>
        <w:top w:val="none" w:sz="0" w:space="0" w:color="auto"/>
        <w:left w:val="none" w:sz="0" w:space="0" w:color="auto"/>
        <w:bottom w:val="none" w:sz="0" w:space="0" w:color="auto"/>
        <w:right w:val="none" w:sz="0" w:space="0" w:color="auto"/>
      </w:divBdr>
    </w:div>
    <w:div w:id="1051928164">
      <w:bodyDiv w:val="1"/>
      <w:marLeft w:val="0"/>
      <w:marRight w:val="0"/>
      <w:marTop w:val="0"/>
      <w:marBottom w:val="0"/>
      <w:divBdr>
        <w:top w:val="none" w:sz="0" w:space="0" w:color="auto"/>
        <w:left w:val="none" w:sz="0" w:space="0" w:color="auto"/>
        <w:bottom w:val="none" w:sz="0" w:space="0" w:color="auto"/>
        <w:right w:val="none" w:sz="0" w:space="0" w:color="auto"/>
      </w:divBdr>
    </w:div>
    <w:div w:id="1058866427">
      <w:bodyDiv w:val="1"/>
      <w:marLeft w:val="0"/>
      <w:marRight w:val="0"/>
      <w:marTop w:val="0"/>
      <w:marBottom w:val="0"/>
      <w:divBdr>
        <w:top w:val="none" w:sz="0" w:space="0" w:color="auto"/>
        <w:left w:val="none" w:sz="0" w:space="0" w:color="auto"/>
        <w:bottom w:val="none" w:sz="0" w:space="0" w:color="auto"/>
        <w:right w:val="none" w:sz="0" w:space="0" w:color="auto"/>
      </w:divBdr>
    </w:div>
    <w:div w:id="1059548434">
      <w:bodyDiv w:val="1"/>
      <w:marLeft w:val="0"/>
      <w:marRight w:val="0"/>
      <w:marTop w:val="0"/>
      <w:marBottom w:val="0"/>
      <w:divBdr>
        <w:top w:val="none" w:sz="0" w:space="0" w:color="auto"/>
        <w:left w:val="none" w:sz="0" w:space="0" w:color="auto"/>
        <w:bottom w:val="none" w:sz="0" w:space="0" w:color="auto"/>
        <w:right w:val="none" w:sz="0" w:space="0" w:color="auto"/>
      </w:divBdr>
    </w:div>
    <w:div w:id="1068766739">
      <w:bodyDiv w:val="1"/>
      <w:marLeft w:val="0"/>
      <w:marRight w:val="0"/>
      <w:marTop w:val="0"/>
      <w:marBottom w:val="0"/>
      <w:divBdr>
        <w:top w:val="none" w:sz="0" w:space="0" w:color="auto"/>
        <w:left w:val="none" w:sz="0" w:space="0" w:color="auto"/>
        <w:bottom w:val="none" w:sz="0" w:space="0" w:color="auto"/>
        <w:right w:val="none" w:sz="0" w:space="0" w:color="auto"/>
      </w:divBdr>
    </w:div>
    <w:div w:id="1074740035">
      <w:bodyDiv w:val="1"/>
      <w:marLeft w:val="0"/>
      <w:marRight w:val="0"/>
      <w:marTop w:val="0"/>
      <w:marBottom w:val="0"/>
      <w:divBdr>
        <w:top w:val="none" w:sz="0" w:space="0" w:color="auto"/>
        <w:left w:val="none" w:sz="0" w:space="0" w:color="auto"/>
        <w:bottom w:val="none" w:sz="0" w:space="0" w:color="auto"/>
        <w:right w:val="none" w:sz="0" w:space="0" w:color="auto"/>
      </w:divBdr>
    </w:div>
    <w:div w:id="1076055361">
      <w:bodyDiv w:val="1"/>
      <w:marLeft w:val="0"/>
      <w:marRight w:val="0"/>
      <w:marTop w:val="0"/>
      <w:marBottom w:val="0"/>
      <w:divBdr>
        <w:top w:val="none" w:sz="0" w:space="0" w:color="auto"/>
        <w:left w:val="none" w:sz="0" w:space="0" w:color="auto"/>
        <w:bottom w:val="none" w:sz="0" w:space="0" w:color="auto"/>
        <w:right w:val="none" w:sz="0" w:space="0" w:color="auto"/>
      </w:divBdr>
    </w:div>
    <w:div w:id="1087850717">
      <w:bodyDiv w:val="1"/>
      <w:marLeft w:val="0"/>
      <w:marRight w:val="0"/>
      <w:marTop w:val="0"/>
      <w:marBottom w:val="0"/>
      <w:divBdr>
        <w:top w:val="none" w:sz="0" w:space="0" w:color="auto"/>
        <w:left w:val="none" w:sz="0" w:space="0" w:color="auto"/>
        <w:bottom w:val="none" w:sz="0" w:space="0" w:color="auto"/>
        <w:right w:val="none" w:sz="0" w:space="0" w:color="auto"/>
      </w:divBdr>
    </w:div>
    <w:div w:id="1107963120">
      <w:bodyDiv w:val="1"/>
      <w:marLeft w:val="0"/>
      <w:marRight w:val="0"/>
      <w:marTop w:val="0"/>
      <w:marBottom w:val="0"/>
      <w:divBdr>
        <w:top w:val="none" w:sz="0" w:space="0" w:color="auto"/>
        <w:left w:val="none" w:sz="0" w:space="0" w:color="auto"/>
        <w:bottom w:val="none" w:sz="0" w:space="0" w:color="auto"/>
        <w:right w:val="none" w:sz="0" w:space="0" w:color="auto"/>
      </w:divBdr>
    </w:div>
    <w:div w:id="1123615395">
      <w:bodyDiv w:val="1"/>
      <w:marLeft w:val="0"/>
      <w:marRight w:val="0"/>
      <w:marTop w:val="0"/>
      <w:marBottom w:val="0"/>
      <w:divBdr>
        <w:top w:val="none" w:sz="0" w:space="0" w:color="auto"/>
        <w:left w:val="none" w:sz="0" w:space="0" w:color="auto"/>
        <w:bottom w:val="none" w:sz="0" w:space="0" w:color="auto"/>
        <w:right w:val="none" w:sz="0" w:space="0" w:color="auto"/>
      </w:divBdr>
    </w:div>
    <w:div w:id="1125925072">
      <w:bodyDiv w:val="1"/>
      <w:marLeft w:val="0"/>
      <w:marRight w:val="0"/>
      <w:marTop w:val="0"/>
      <w:marBottom w:val="0"/>
      <w:divBdr>
        <w:top w:val="none" w:sz="0" w:space="0" w:color="auto"/>
        <w:left w:val="none" w:sz="0" w:space="0" w:color="auto"/>
        <w:bottom w:val="none" w:sz="0" w:space="0" w:color="auto"/>
        <w:right w:val="none" w:sz="0" w:space="0" w:color="auto"/>
      </w:divBdr>
    </w:div>
    <w:div w:id="1131703043">
      <w:bodyDiv w:val="1"/>
      <w:marLeft w:val="0"/>
      <w:marRight w:val="0"/>
      <w:marTop w:val="0"/>
      <w:marBottom w:val="0"/>
      <w:divBdr>
        <w:top w:val="none" w:sz="0" w:space="0" w:color="auto"/>
        <w:left w:val="none" w:sz="0" w:space="0" w:color="auto"/>
        <w:bottom w:val="none" w:sz="0" w:space="0" w:color="auto"/>
        <w:right w:val="none" w:sz="0" w:space="0" w:color="auto"/>
      </w:divBdr>
    </w:div>
    <w:div w:id="1134567005">
      <w:bodyDiv w:val="1"/>
      <w:marLeft w:val="0"/>
      <w:marRight w:val="0"/>
      <w:marTop w:val="0"/>
      <w:marBottom w:val="0"/>
      <w:divBdr>
        <w:top w:val="none" w:sz="0" w:space="0" w:color="auto"/>
        <w:left w:val="none" w:sz="0" w:space="0" w:color="auto"/>
        <w:bottom w:val="none" w:sz="0" w:space="0" w:color="auto"/>
        <w:right w:val="none" w:sz="0" w:space="0" w:color="auto"/>
      </w:divBdr>
    </w:div>
    <w:div w:id="1134905304">
      <w:bodyDiv w:val="1"/>
      <w:marLeft w:val="0"/>
      <w:marRight w:val="0"/>
      <w:marTop w:val="0"/>
      <w:marBottom w:val="0"/>
      <w:divBdr>
        <w:top w:val="none" w:sz="0" w:space="0" w:color="auto"/>
        <w:left w:val="none" w:sz="0" w:space="0" w:color="auto"/>
        <w:bottom w:val="none" w:sz="0" w:space="0" w:color="auto"/>
        <w:right w:val="none" w:sz="0" w:space="0" w:color="auto"/>
      </w:divBdr>
    </w:div>
    <w:div w:id="1155953175">
      <w:bodyDiv w:val="1"/>
      <w:marLeft w:val="0"/>
      <w:marRight w:val="0"/>
      <w:marTop w:val="0"/>
      <w:marBottom w:val="0"/>
      <w:divBdr>
        <w:top w:val="none" w:sz="0" w:space="0" w:color="auto"/>
        <w:left w:val="none" w:sz="0" w:space="0" w:color="auto"/>
        <w:bottom w:val="none" w:sz="0" w:space="0" w:color="auto"/>
        <w:right w:val="none" w:sz="0" w:space="0" w:color="auto"/>
      </w:divBdr>
    </w:div>
    <w:div w:id="1164852555">
      <w:bodyDiv w:val="1"/>
      <w:marLeft w:val="0"/>
      <w:marRight w:val="0"/>
      <w:marTop w:val="0"/>
      <w:marBottom w:val="0"/>
      <w:divBdr>
        <w:top w:val="none" w:sz="0" w:space="0" w:color="auto"/>
        <w:left w:val="none" w:sz="0" w:space="0" w:color="auto"/>
        <w:bottom w:val="none" w:sz="0" w:space="0" w:color="auto"/>
        <w:right w:val="none" w:sz="0" w:space="0" w:color="auto"/>
      </w:divBdr>
    </w:div>
    <w:div w:id="1165852254">
      <w:bodyDiv w:val="1"/>
      <w:marLeft w:val="0"/>
      <w:marRight w:val="0"/>
      <w:marTop w:val="0"/>
      <w:marBottom w:val="0"/>
      <w:divBdr>
        <w:top w:val="none" w:sz="0" w:space="0" w:color="auto"/>
        <w:left w:val="none" w:sz="0" w:space="0" w:color="auto"/>
        <w:bottom w:val="none" w:sz="0" w:space="0" w:color="auto"/>
        <w:right w:val="none" w:sz="0" w:space="0" w:color="auto"/>
      </w:divBdr>
    </w:div>
    <w:div w:id="1169102528">
      <w:bodyDiv w:val="1"/>
      <w:marLeft w:val="0"/>
      <w:marRight w:val="0"/>
      <w:marTop w:val="0"/>
      <w:marBottom w:val="0"/>
      <w:divBdr>
        <w:top w:val="none" w:sz="0" w:space="0" w:color="auto"/>
        <w:left w:val="none" w:sz="0" w:space="0" w:color="auto"/>
        <w:bottom w:val="none" w:sz="0" w:space="0" w:color="auto"/>
        <w:right w:val="none" w:sz="0" w:space="0" w:color="auto"/>
      </w:divBdr>
    </w:div>
    <w:div w:id="1170632413">
      <w:bodyDiv w:val="1"/>
      <w:marLeft w:val="0"/>
      <w:marRight w:val="0"/>
      <w:marTop w:val="0"/>
      <w:marBottom w:val="0"/>
      <w:divBdr>
        <w:top w:val="none" w:sz="0" w:space="0" w:color="auto"/>
        <w:left w:val="none" w:sz="0" w:space="0" w:color="auto"/>
        <w:bottom w:val="none" w:sz="0" w:space="0" w:color="auto"/>
        <w:right w:val="none" w:sz="0" w:space="0" w:color="auto"/>
      </w:divBdr>
    </w:div>
    <w:div w:id="1181316950">
      <w:bodyDiv w:val="1"/>
      <w:marLeft w:val="0"/>
      <w:marRight w:val="0"/>
      <w:marTop w:val="0"/>
      <w:marBottom w:val="0"/>
      <w:divBdr>
        <w:top w:val="none" w:sz="0" w:space="0" w:color="auto"/>
        <w:left w:val="none" w:sz="0" w:space="0" w:color="auto"/>
        <w:bottom w:val="none" w:sz="0" w:space="0" w:color="auto"/>
        <w:right w:val="none" w:sz="0" w:space="0" w:color="auto"/>
      </w:divBdr>
    </w:div>
    <w:div w:id="1204714788">
      <w:bodyDiv w:val="1"/>
      <w:marLeft w:val="0"/>
      <w:marRight w:val="0"/>
      <w:marTop w:val="0"/>
      <w:marBottom w:val="0"/>
      <w:divBdr>
        <w:top w:val="none" w:sz="0" w:space="0" w:color="auto"/>
        <w:left w:val="none" w:sz="0" w:space="0" w:color="auto"/>
        <w:bottom w:val="none" w:sz="0" w:space="0" w:color="auto"/>
        <w:right w:val="none" w:sz="0" w:space="0" w:color="auto"/>
      </w:divBdr>
    </w:div>
    <w:div w:id="1229725674">
      <w:bodyDiv w:val="1"/>
      <w:marLeft w:val="0"/>
      <w:marRight w:val="0"/>
      <w:marTop w:val="0"/>
      <w:marBottom w:val="0"/>
      <w:divBdr>
        <w:top w:val="none" w:sz="0" w:space="0" w:color="auto"/>
        <w:left w:val="none" w:sz="0" w:space="0" w:color="auto"/>
        <w:bottom w:val="none" w:sz="0" w:space="0" w:color="auto"/>
        <w:right w:val="none" w:sz="0" w:space="0" w:color="auto"/>
      </w:divBdr>
    </w:div>
    <w:div w:id="1229925752">
      <w:bodyDiv w:val="1"/>
      <w:marLeft w:val="0"/>
      <w:marRight w:val="0"/>
      <w:marTop w:val="0"/>
      <w:marBottom w:val="0"/>
      <w:divBdr>
        <w:top w:val="none" w:sz="0" w:space="0" w:color="auto"/>
        <w:left w:val="none" w:sz="0" w:space="0" w:color="auto"/>
        <w:bottom w:val="none" w:sz="0" w:space="0" w:color="auto"/>
        <w:right w:val="none" w:sz="0" w:space="0" w:color="auto"/>
      </w:divBdr>
    </w:div>
    <w:div w:id="1255745932">
      <w:bodyDiv w:val="1"/>
      <w:marLeft w:val="0"/>
      <w:marRight w:val="0"/>
      <w:marTop w:val="0"/>
      <w:marBottom w:val="0"/>
      <w:divBdr>
        <w:top w:val="none" w:sz="0" w:space="0" w:color="auto"/>
        <w:left w:val="none" w:sz="0" w:space="0" w:color="auto"/>
        <w:bottom w:val="none" w:sz="0" w:space="0" w:color="auto"/>
        <w:right w:val="none" w:sz="0" w:space="0" w:color="auto"/>
      </w:divBdr>
    </w:div>
    <w:div w:id="1259405795">
      <w:bodyDiv w:val="1"/>
      <w:marLeft w:val="0"/>
      <w:marRight w:val="0"/>
      <w:marTop w:val="0"/>
      <w:marBottom w:val="0"/>
      <w:divBdr>
        <w:top w:val="none" w:sz="0" w:space="0" w:color="auto"/>
        <w:left w:val="none" w:sz="0" w:space="0" w:color="auto"/>
        <w:bottom w:val="none" w:sz="0" w:space="0" w:color="auto"/>
        <w:right w:val="none" w:sz="0" w:space="0" w:color="auto"/>
      </w:divBdr>
      <w:divsChild>
        <w:div w:id="715474167">
          <w:marLeft w:val="0"/>
          <w:marRight w:val="0"/>
          <w:marTop w:val="0"/>
          <w:marBottom w:val="0"/>
          <w:divBdr>
            <w:top w:val="none" w:sz="0" w:space="0" w:color="auto"/>
            <w:left w:val="none" w:sz="0" w:space="0" w:color="auto"/>
            <w:bottom w:val="none" w:sz="0" w:space="0" w:color="auto"/>
            <w:right w:val="none" w:sz="0" w:space="0" w:color="auto"/>
          </w:divBdr>
        </w:div>
      </w:divsChild>
    </w:div>
    <w:div w:id="1259798750">
      <w:bodyDiv w:val="1"/>
      <w:marLeft w:val="0"/>
      <w:marRight w:val="0"/>
      <w:marTop w:val="0"/>
      <w:marBottom w:val="0"/>
      <w:divBdr>
        <w:top w:val="none" w:sz="0" w:space="0" w:color="auto"/>
        <w:left w:val="none" w:sz="0" w:space="0" w:color="auto"/>
        <w:bottom w:val="none" w:sz="0" w:space="0" w:color="auto"/>
        <w:right w:val="none" w:sz="0" w:space="0" w:color="auto"/>
      </w:divBdr>
    </w:div>
    <w:div w:id="1273588633">
      <w:bodyDiv w:val="1"/>
      <w:marLeft w:val="0"/>
      <w:marRight w:val="0"/>
      <w:marTop w:val="0"/>
      <w:marBottom w:val="0"/>
      <w:divBdr>
        <w:top w:val="none" w:sz="0" w:space="0" w:color="auto"/>
        <w:left w:val="none" w:sz="0" w:space="0" w:color="auto"/>
        <w:bottom w:val="none" w:sz="0" w:space="0" w:color="auto"/>
        <w:right w:val="none" w:sz="0" w:space="0" w:color="auto"/>
      </w:divBdr>
    </w:div>
    <w:div w:id="1310092597">
      <w:bodyDiv w:val="1"/>
      <w:marLeft w:val="0"/>
      <w:marRight w:val="0"/>
      <w:marTop w:val="0"/>
      <w:marBottom w:val="0"/>
      <w:divBdr>
        <w:top w:val="none" w:sz="0" w:space="0" w:color="auto"/>
        <w:left w:val="none" w:sz="0" w:space="0" w:color="auto"/>
        <w:bottom w:val="none" w:sz="0" w:space="0" w:color="auto"/>
        <w:right w:val="none" w:sz="0" w:space="0" w:color="auto"/>
      </w:divBdr>
    </w:div>
    <w:div w:id="1318148132">
      <w:bodyDiv w:val="1"/>
      <w:marLeft w:val="0"/>
      <w:marRight w:val="0"/>
      <w:marTop w:val="0"/>
      <w:marBottom w:val="0"/>
      <w:divBdr>
        <w:top w:val="none" w:sz="0" w:space="0" w:color="auto"/>
        <w:left w:val="none" w:sz="0" w:space="0" w:color="auto"/>
        <w:bottom w:val="none" w:sz="0" w:space="0" w:color="auto"/>
        <w:right w:val="none" w:sz="0" w:space="0" w:color="auto"/>
      </w:divBdr>
    </w:div>
    <w:div w:id="1337883697">
      <w:bodyDiv w:val="1"/>
      <w:marLeft w:val="0"/>
      <w:marRight w:val="0"/>
      <w:marTop w:val="0"/>
      <w:marBottom w:val="0"/>
      <w:divBdr>
        <w:top w:val="none" w:sz="0" w:space="0" w:color="auto"/>
        <w:left w:val="none" w:sz="0" w:space="0" w:color="auto"/>
        <w:bottom w:val="none" w:sz="0" w:space="0" w:color="auto"/>
        <w:right w:val="none" w:sz="0" w:space="0" w:color="auto"/>
      </w:divBdr>
    </w:div>
    <w:div w:id="1349873758">
      <w:bodyDiv w:val="1"/>
      <w:marLeft w:val="0"/>
      <w:marRight w:val="0"/>
      <w:marTop w:val="0"/>
      <w:marBottom w:val="0"/>
      <w:divBdr>
        <w:top w:val="none" w:sz="0" w:space="0" w:color="auto"/>
        <w:left w:val="none" w:sz="0" w:space="0" w:color="auto"/>
        <w:bottom w:val="none" w:sz="0" w:space="0" w:color="auto"/>
        <w:right w:val="none" w:sz="0" w:space="0" w:color="auto"/>
      </w:divBdr>
    </w:div>
    <w:div w:id="1350135511">
      <w:bodyDiv w:val="1"/>
      <w:marLeft w:val="0"/>
      <w:marRight w:val="0"/>
      <w:marTop w:val="0"/>
      <w:marBottom w:val="0"/>
      <w:divBdr>
        <w:top w:val="none" w:sz="0" w:space="0" w:color="auto"/>
        <w:left w:val="none" w:sz="0" w:space="0" w:color="auto"/>
        <w:bottom w:val="none" w:sz="0" w:space="0" w:color="auto"/>
        <w:right w:val="none" w:sz="0" w:space="0" w:color="auto"/>
      </w:divBdr>
    </w:div>
    <w:div w:id="1369525963">
      <w:bodyDiv w:val="1"/>
      <w:marLeft w:val="0"/>
      <w:marRight w:val="0"/>
      <w:marTop w:val="0"/>
      <w:marBottom w:val="0"/>
      <w:divBdr>
        <w:top w:val="none" w:sz="0" w:space="0" w:color="auto"/>
        <w:left w:val="none" w:sz="0" w:space="0" w:color="auto"/>
        <w:bottom w:val="none" w:sz="0" w:space="0" w:color="auto"/>
        <w:right w:val="none" w:sz="0" w:space="0" w:color="auto"/>
      </w:divBdr>
    </w:div>
    <w:div w:id="1386904175">
      <w:bodyDiv w:val="1"/>
      <w:marLeft w:val="0"/>
      <w:marRight w:val="0"/>
      <w:marTop w:val="0"/>
      <w:marBottom w:val="0"/>
      <w:divBdr>
        <w:top w:val="none" w:sz="0" w:space="0" w:color="auto"/>
        <w:left w:val="none" w:sz="0" w:space="0" w:color="auto"/>
        <w:bottom w:val="none" w:sz="0" w:space="0" w:color="auto"/>
        <w:right w:val="none" w:sz="0" w:space="0" w:color="auto"/>
      </w:divBdr>
    </w:div>
    <w:div w:id="1387102051">
      <w:bodyDiv w:val="1"/>
      <w:marLeft w:val="0"/>
      <w:marRight w:val="0"/>
      <w:marTop w:val="0"/>
      <w:marBottom w:val="0"/>
      <w:divBdr>
        <w:top w:val="none" w:sz="0" w:space="0" w:color="auto"/>
        <w:left w:val="none" w:sz="0" w:space="0" w:color="auto"/>
        <w:bottom w:val="none" w:sz="0" w:space="0" w:color="auto"/>
        <w:right w:val="none" w:sz="0" w:space="0" w:color="auto"/>
      </w:divBdr>
    </w:div>
    <w:div w:id="1429697978">
      <w:bodyDiv w:val="1"/>
      <w:marLeft w:val="0"/>
      <w:marRight w:val="0"/>
      <w:marTop w:val="0"/>
      <w:marBottom w:val="0"/>
      <w:divBdr>
        <w:top w:val="none" w:sz="0" w:space="0" w:color="auto"/>
        <w:left w:val="none" w:sz="0" w:space="0" w:color="auto"/>
        <w:bottom w:val="none" w:sz="0" w:space="0" w:color="auto"/>
        <w:right w:val="none" w:sz="0" w:space="0" w:color="auto"/>
      </w:divBdr>
    </w:div>
    <w:div w:id="1439637927">
      <w:bodyDiv w:val="1"/>
      <w:marLeft w:val="0"/>
      <w:marRight w:val="0"/>
      <w:marTop w:val="0"/>
      <w:marBottom w:val="0"/>
      <w:divBdr>
        <w:top w:val="none" w:sz="0" w:space="0" w:color="auto"/>
        <w:left w:val="none" w:sz="0" w:space="0" w:color="auto"/>
        <w:bottom w:val="none" w:sz="0" w:space="0" w:color="auto"/>
        <w:right w:val="none" w:sz="0" w:space="0" w:color="auto"/>
      </w:divBdr>
    </w:div>
    <w:div w:id="1440293073">
      <w:bodyDiv w:val="1"/>
      <w:marLeft w:val="0"/>
      <w:marRight w:val="0"/>
      <w:marTop w:val="0"/>
      <w:marBottom w:val="0"/>
      <w:divBdr>
        <w:top w:val="none" w:sz="0" w:space="0" w:color="auto"/>
        <w:left w:val="none" w:sz="0" w:space="0" w:color="auto"/>
        <w:bottom w:val="none" w:sz="0" w:space="0" w:color="auto"/>
        <w:right w:val="none" w:sz="0" w:space="0" w:color="auto"/>
      </w:divBdr>
    </w:div>
    <w:div w:id="1456557325">
      <w:bodyDiv w:val="1"/>
      <w:marLeft w:val="0"/>
      <w:marRight w:val="0"/>
      <w:marTop w:val="0"/>
      <w:marBottom w:val="0"/>
      <w:divBdr>
        <w:top w:val="none" w:sz="0" w:space="0" w:color="auto"/>
        <w:left w:val="none" w:sz="0" w:space="0" w:color="auto"/>
        <w:bottom w:val="none" w:sz="0" w:space="0" w:color="auto"/>
        <w:right w:val="none" w:sz="0" w:space="0" w:color="auto"/>
      </w:divBdr>
    </w:div>
    <w:div w:id="1456605252">
      <w:bodyDiv w:val="1"/>
      <w:marLeft w:val="0"/>
      <w:marRight w:val="0"/>
      <w:marTop w:val="0"/>
      <w:marBottom w:val="0"/>
      <w:divBdr>
        <w:top w:val="none" w:sz="0" w:space="0" w:color="auto"/>
        <w:left w:val="none" w:sz="0" w:space="0" w:color="auto"/>
        <w:bottom w:val="none" w:sz="0" w:space="0" w:color="auto"/>
        <w:right w:val="none" w:sz="0" w:space="0" w:color="auto"/>
      </w:divBdr>
    </w:div>
    <w:div w:id="1457024353">
      <w:bodyDiv w:val="1"/>
      <w:marLeft w:val="0"/>
      <w:marRight w:val="0"/>
      <w:marTop w:val="0"/>
      <w:marBottom w:val="0"/>
      <w:divBdr>
        <w:top w:val="none" w:sz="0" w:space="0" w:color="auto"/>
        <w:left w:val="none" w:sz="0" w:space="0" w:color="auto"/>
        <w:bottom w:val="none" w:sz="0" w:space="0" w:color="auto"/>
        <w:right w:val="none" w:sz="0" w:space="0" w:color="auto"/>
      </w:divBdr>
    </w:div>
    <w:div w:id="1467164609">
      <w:bodyDiv w:val="1"/>
      <w:marLeft w:val="0"/>
      <w:marRight w:val="0"/>
      <w:marTop w:val="0"/>
      <w:marBottom w:val="0"/>
      <w:divBdr>
        <w:top w:val="none" w:sz="0" w:space="0" w:color="auto"/>
        <w:left w:val="none" w:sz="0" w:space="0" w:color="auto"/>
        <w:bottom w:val="none" w:sz="0" w:space="0" w:color="auto"/>
        <w:right w:val="none" w:sz="0" w:space="0" w:color="auto"/>
      </w:divBdr>
    </w:div>
    <w:div w:id="1480920099">
      <w:bodyDiv w:val="1"/>
      <w:marLeft w:val="0"/>
      <w:marRight w:val="0"/>
      <w:marTop w:val="0"/>
      <w:marBottom w:val="0"/>
      <w:divBdr>
        <w:top w:val="none" w:sz="0" w:space="0" w:color="auto"/>
        <w:left w:val="none" w:sz="0" w:space="0" w:color="auto"/>
        <w:bottom w:val="none" w:sz="0" w:space="0" w:color="auto"/>
        <w:right w:val="none" w:sz="0" w:space="0" w:color="auto"/>
      </w:divBdr>
    </w:div>
    <w:div w:id="1485587908">
      <w:bodyDiv w:val="1"/>
      <w:marLeft w:val="0"/>
      <w:marRight w:val="0"/>
      <w:marTop w:val="0"/>
      <w:marBottom w:val="0"/>
      <w:divBdr>
        <w:top w:val="none" w:sz="0" w:space="0" w:color="auto"/>
        <w:left w:val="none" w:sz="0" w:space="0" w:color="auto"/>
        <w:bottom w:val="none" w:sz="0" w:space="0" w:color="auto"/>
        <w:right w:val="none" w:sz="0" w:space="0" w:color="auto"/>
      </w:divBdr>
    </w:div>
    <w:div w:id="1548566839">
      <w:bodyDiv w:val="1"/>
      <w:marLeft w:val="0"/>
      <w:marRight w:val="0"/>
      <w:marTop w:val="0"/>
      <w:marBottom w:val="0"/>
      <w:divBdr>
        <w:top w:val="none" w:sz="0" w:space="0" w:color="auto"/>
        <w:left w:val="none" w:sz="0" w:space="0" w:color="auto"/>
        <w:bottom w:val="none" w:sz="0" w:space="0" w:color="auto"/>
        <w:right w:val="none" w:sz="0" w:space="0" w:color="auto"/>
      </w:divBdr>
    </w:div>
    <w:div w:id="1559517302">
      <w:bodyDiv w:val="1"/>
      <w:marLeft w:val="0"/>
      <w:marRight w:val="0"/>
      <w:marTop w:val="0"/>
      <w:marBottom w:val="0"/>
      <w:divBdr>
        <w:top w:val="none" w:sz="0" w:space="0" w:color="auto"/>
        <w:left w:val="none" w:sz="0" w:space="0" w:color="auto"/>
        <w:bottom w:val="none" w:sz="0" w:space="0" w:color="auto"/>
        <w:right w:val="none" w:sz="0" w:space="0" w:color="auto"/>
      </w:divBdr>
    </w:div>
    <w:div w:id="1571425003">
      <w:bodyDiv w:val="1"/>
      <w:marLeft w:val="0"/>
      <w:marRight w:val="0"/>
      <w:marTop w:val="0"/>
      <w:marBottom w:val="0"/>
      <w:divBdr>
        <w:top w:val="none" w:sz="0" w:space="0" w:color="auto"/>
        <w:left w:val="none" w:sz="0" w:space="0" w:color="auto"/>
        <w:bottom w:val="none" w:sz="0" w:space="0" w:color="auto"/>
        <w:right w:val="none" w:sz="0" w:space="0" w:color="auto"/>
      </w:divBdr>
    </w:div>
    <w:div w:id="1574124882">
      <w:bodyDiv w:val="1"/>
      <w:marLeft w:val="0"/>
      <w:marRight w:val="0"/>
      <w:marTop w:val="0"/>
      <w:marBottom w:val="0"/>
      <w:divBdr>
        <w:top w:val="none" w:sz="0" w:space="0" w:color="auto"/>
        <w:left w:val="none" w:sz="0" w:space="0" w:color="auto"/>
        <w:bottom w:val="none" w:sz="0" w:space="0" w:color="auto"/>
        <w:right w:val="none" w:sz="0" w:space="0" w:color="auto"/>
      </w:divBdr>
    </w:div>
    <w:div w:id="1587421643">
      <w:bodyDiv w:val="1"/>
      <w:marLeft w:val="0"/>
      <w:marRight w:val="0"/>
      <w:marTop w:val="0"/>
      <w:marBottom w:val="0"/>
      <w:divBdr>
        <w:top w:val="none" w:sz="0" w:space="0" w:color="auto"/>
        <w:left w:val="none" w:sz="0" w:space="0" w:color="auto"/>
        <w:bottom w:val="none" w:sz="0" w:space="0" w:color="auto"/>
        <w:right w:val="none" w:sz="0" w:space="0" w:color="auto"/>
      </w:divBdr>
    </w:div>
    <w:div w:id="1606575951">
      <w:bodyDiv w:val="1"/>
      <w:marLeft w:val="0"/>
      <w:marRight w:val="0"/>
      <w:marTop w:val="0"/>
      <w:marBottom w:val="0"/>
      <w:divBdr>
        <w:top w:val="none" w:sz="0" w:space="0" w:color="auto"/>
        <w:left w:val="none" w:sz="0" w:space="0" w:color="auto"/>
        <w:bottom w:val="none" w:sz="0" w:space="0" w:color="auto"/>
        <w:right w:val="none" w:sz="0" w:space="0" w:color="auto"/>
      </w:divBdr>
    </w:div>
    <w:div w:id="1608347704">
      <w:bodyDiv w:val="1"/>
      <w:marLeft w:val="0"/>
      <w:marRight w:val="0"/>
      <w:marTop w:val="0"/>
      <w:marBottom w:val="0"/>
      <w:divBdr>
        <w:top w:val="none" w:sz="0" w:space="0" w:color="auto"/>
        <w:left w:val="none" w:sz="0" w:space="0" w:color="auto"/>
        <w:bottom w:val="none" w:sz="0" w:space="0" w:color="auto"/>
        <w:right w:val="none" w:sz="0" w:space="0" w:color="auto"/>
      </w:divBdr>
    </w:div>
    <w:div w:id="1615594854">
      <w:bodyDiv w:val="1"/>
      <w:marLeft w:val="0"/>
      <w:marRight w:val="0"/>
      <w:marTop w:val="0"/>
      <w:marBottom w:val="0"/>
      <w:divBdr>
        <w:top w:val="none" w:sz="0" w:space="0" w:color="auto"/>
        <w:left w:val="none" w:sz="0" w:space="0" w:color="auto"/>
        <w:bottom w:val="none" w:sz="0" w:space="0" w:color="auto"/>
        <w:right w:val="none" w:sz="0" w:space="0" w:color="auto"/>
      </w:divBdr>
    </w:div>
    <w:div w:id="1623924412">
      <w:bodyDiv w:val="1"/>
      <w:marLeft w:val="0"/>
      <w:marRight w:val="0"/>
      <w:marTop w:val="0"/>
      <w:marBottom w:val="0"/>
      <w:divBdr>
        <w:top w:val="none" w:sz="0" w:space="0" w:color="auto"/>
        <w:left w:val="none" w:sz="0" w:space="0" w:color="auto"/>
        <w:bottom w:val="none" w:sz="0" w:space="0" w:color="auto"/>
        <w:right w:val="none" w:sz="0" w:space="0" w:color="auto"/>
      </w:divBdr>
    </w:div>
    <w:div w:id="1631014118">
      <w:bodyDiv w:val="1"/>
      <w:marLeft w:val="0"/>
      <w:marRight w:val="0"/>
      <w:marTop w:val="0"/>
      <w:marBottom w:val="0"/>
      <w:divBdr>
        <w:top w:val="none" w:sz="0" w:space="0" w:color="auto"/>
        <w:left w:val="none" w:sz="0" w:space="0" w:color="auto"/>
        <w:bottom w:val="none" w:sz="0" w:space="0" w:color="auto"/>
        <w:right w:val="none" w:sz="0" w:space="0" w:color="auto"/>
      </w:divBdr>
    </w:div>
    <w:div w:id="1647469316">
      <w:bodyDiv w:val="1"/>
      <w:marLeft w:val="0"/>
      <w:marRight w:val="0"/>
      <w:marTop w:val="0"/>
      <w:marBottom w:val="0"/>
      <w:divBdr>
        <w:top w:val="none" w:sz="0" w:space="0" w:color="auto"/>
        <w:left w:val="none" w:sz="0" w:space="0" w:color="auto"/>
        <w:bottom w:val="none" w:sz="0" w:space="0" w:color="auto"/>
        <w:right w:val="none" w:sz="0" w:space="0" w:color="auto"/>
      </w:divBdr>
    </w:div>
    <w:div w:id="1651326538">
      <w:bodyDiv w:val="1"/>
      <w:marLeft w:val="0"/>
      <w:marRight w:val="0"/>
      <w:marTop w:val="0"/>
      <w:marBottom w:val="0"/>
      <w:divBdr>
        <w:top w:val="none" w:sz="0" w:space="0" w:color="auto"/>
        <w:left w:val="none" w:sz="0" w:space="0" w:color="auto"/>
        <w:bottom w:val="none" w:sz="0" w:space="0" w:color="auto"/>
        <w:right w:val="none" w:sz="0" w:space="0" w:color="auto"/>
      </w:divBdr>
    </w:div>
    <w:div w:id="1666350776">
      <w:bodyDiv w:val="1"/>
      <w:marLeft w:val="0"/>
      <w:marRight w:val="0"/>
      <w:marTop w:val="0"/>
      <w:marBottom w:val="0"/>
      <w:divBdr>
        <w:top w:val="none" w:sz="0" w:space="0" w:color="auto"/>
        <w:left w:val="none" w:sz="0" w:space="0" w:color="auto"/>
        <w:bottom w:val="none" w:sz="0" w:space="0" w:color="auto"/>
        <w:right w:val="none" w:sz="0" w:space="0" w:color="auto"/>
      </w:divBdr>
    </w:div>
    <w:div w:id="1667636909">
      <w:bodyDiv w:val="1"/>
      <w:marLeft w:val="0"/>
      <w:marRight w:val="0"/>
      <w:marTop w:val="0"/>
      <w:marBottom w:val="0"/>
      <w:divBdr>
        <w:top w:val="none" w:sz="0" w:space="0" w:color="auto"/>
        <w:left w:val="none" w:sz="0" w:space="0" w:color="auto"/>
        <w:bottom w:val="none" w:sz="0" w:space="0" w:color="auto"/>
        <w:right w:val="none" w:sz="0" w:space="0" w:color="auto"/>
      </w:divBdr>
    </w:div>
    <w:div w:id="1672877696">
      <w:bodyDiv w:val="1"/>
      <w:marLeft w:val="0"/>
      <w:marRight w:val="0"/>
      <w:marTop w:val="0"/>
      <w:marBottom w:val="0"/>
      <w:divBdr>
        <w:top w:val="none" w:sz="0" w:space="0" w:color="auto"/>
        <w:left w:val="none" w:sz="0" w:space="0" w:color="auto"/>
        <w:bottom w:val="none" w:sz="0" w:space="0" w:color="auto"/>
        <w:right w:val="none" w:sz="0" w:space="0" w:color="auto"/>
      </w:divBdr>
    </w:div>
    <w:div w:id="1681202866">
      <w:bodyDiv w:val="1"/>
      <w:marLeft w:val="0"/>
      <w:marRight w:val="0"/>
      <w:marTop w:val="0"/>
      <w:marBottom w:val="0"/>
      <w:divBdr>
        <w:top w:val="none" w:sz="0" w:space="0" w:color="auto"/>
        <w:left w:val="none" w:sz="0" w:space="0" w:color="auto"/>
        <w:bottom w:val="none" w:sz="0" w:space="0" w:color="auto"/>
        <w:right w:val="none" w:sz="0" w:space="0" w:color="auto"/>
      </w:divBdr>
    </w:div>
    <w:div w:id="1691948483">
      <w:bodyDiv w:val="1"/>
      <w:marLeft w:val="0"/>
      <w:marRight w:val="0"/>
      <w:marTop w:val="0"/>
      <w:marBottom w:val="0"/>
      <w:divBdr>
        <w:top w:val="none" w:sz="0" w:space="0" w:color="auto"/>
        <w:left w:val="none" w:sz="0" w:space="0" w:color="auto"/>
        <w:bottom w:val="none" w:sz="0" w:space="0" w:color="auto"/>
        <w:right w:val="none" w:sz="0" w:space="0" w:color="auto"/>
      </w:divBdr>
    </w:div>
    <w:div w:id="1714190721">
      <w:bodyDiv w:val="1"/>
      <w:marLeft w:val="0"/>
      <w:marRight w:val="0"/>
      <w:marTop w:val="0"/>
      <w:marBottom w:val="0"/>
      <w:divBdr>
        <w:top w:val="none" w:sz="0" w:space="0" w:color="auto"/>
        <w:left w:val="none" w:sz="0" w:space="0" w:color="auto"/>
        <w:bottom w:val="none" w:sz="0" w:space="0" w:color="auto"/>
        <w:right w:val="none" w:sz="0" w:space="0" w:color="auto"/>
      </w:divBdr>
    </w:div>
    <w:div w:id="1719623262">
      <w:bodyDiv w:val="1"/>
      <w:marLeft w:val="0"/>
      <w:marRight w:val="0"/>
      <w:marTop w:val="0"/>
      <w:marBottom w:val="0"/>
      <w:divBdr>
        <w:top w:val="none" w:sz="0" w:space="0" w:color="auto"/>
        <w:left w:val="none" w:sz="0" w:space="0" w:color="auto"/>
        <w:bottom w:val="none" w:sz="0" w:space="0" w:color="auto"/>
        <w:right w:val="none" w:sz="0" w:space="0" w:color="auto"/>
      </w:divBdr>
    </w:div>
    <w:div w:id="1725254756">
      <w:bodyDiv w:val="1"/>
      <w:marLeft w:val="0"/>
      <w:marRight w:val="0"/>
      <w:marTop w:val="0"/>
      <w:marBottom w:val="0"/>
      <w:divBdr>
        <w:top w:val="none" w:sz="0" w:space="0" w:color="auto"/>
        <w:left w:val="none" w:sz="0" w:space="0" w:color="auto"/>
        <w:bottom w:val="none" w:sz="0" w:space="0" w:color="auto"/>
        <w:right w:val="none" w:sz="0" w:space="0" w:color="auto"/>
      </w:divBdr>
    </w:div>
    <w:div w:id="1746418324">
      <w:bodyDiv w:val="1"/>
      <w:marLeft w:val="0"/>
      <w:marRight w:val="0"/>
      <w:marTop w:val="0"/>
      <w:marBottom w:val="0"/>
      <w:divBdr>
        <w:top w:val="none" w:sz="0" w:space="0" w:color="auto"/>
        <w:left w:val="none" w:sz="0" w:space="0" w:color="auto"/>
        <w:bottom w:val="none" w:sz="0" w:space="0" w:color="auto"/>
        <w:right w:val="none" w:sz="0" w:space="0" w:color="auto"/>
      </w:divBdr>
    </w:div>
    <w:div w:id="1750275062">
      <w:bodyDiv w:val="1"/>
      <w:marLeft w:val="0"/>
      <w:marRight w:val="0"/>
      <w:marTop w:val="0"/>
      <w:marBottom w:val="0"/>
      <w:divBdr>
        <w:top w:val="none" w:sz="0" w:space="0" w:color="auto"/>
        <w:left w:val="none" w:sz="0" w:space="0" w:color="auto"/>
        <w:bottom w:val="none" w:sz="0" w:space="0" w:color="auto"/>
        <w:right w:val="none" w:sz="0" w:space="0" w:color="auto"/>
      </w:divBdr>
    </w:div>
    <w:div w:id="1795714570">
      <w:bodyDiv w:val="1"/>
      <w:marLeft w:val="0"/>
      <w:marRight w:val="0"/>
      <w:marTop w:val="0"/>
      <w:marBottom w:val="0"/>
      <w:divBdr>
        <w:top w:val="none" w:sz="0" w:space="0" w:color="auto"/>
        <w:left w:val="none" w:sz="0" w:space="0" w:color="auto"/>
        <w:bottom w:val="none" w:sz="0" w:space="0" w:color="auto"/>
        <w:right w:val="none" w:sz="0" w:space="0" w:color="auto"/>
      </w:divBdr>
    </w:div>
    <w:div w:id="1798333457">
      <w:bodyDiv w:val="1"/>
      <w:marLeft w:val="0"/>
      <w:marRight w:val="0"/>
      <w:marTop w:val="0"/>
      <w:marBottom w:val="0"/>
      <w:divBdr>
        <w:top w:val="none" w:sz="0" w:space="0" w:color="auto"/>
        <w:left w:val="none" w:sz="0" w:space="0" w:color="auto"/>
        <w:bottom w:val="none" w:sz="0" w:space="0" w:color="auto"/>
        <w:right w:val="none" w:sz="0" w:space="0" w:color="auto"/>
      </w:divBdr>
    </w:div>
    <w:div w:id="1805855073">
      <w:bodyDiv w:val="1"/>
      <w:marLeft w:val="0"/>
      <w:marRight w:val="0"/>
      <w:marTop w:val="0"/>
      <w:marBottom w:val="0"/>
      <w:divBdr>
        <w:top w:val="none" w:sz="0" w:space="0" w:color="auto"/>
        <w:left w:val="none" w:sz="0" w:space="0" w:color="auto"/>
        <w:bottom w:val="none" w:sz="0" w:space="0" w:color="auto"/>
        <w:right w:val="none" w:sz="0" w:space="0" w:color="auto"/>
      </w:divBdr>
    </w:div>
    <w:div w:id="1827622529">
      <w:bodyDiv w:val="1"/>
      <w:marLeft w:val="0"/>
      <w:marRight w:val="0"/>
      <w:marTop w:val="0"/>
      <w:marBottom w:val="0"/>
      <w:divBdr>
        <w:top w:val="none" w:sz="0" w:space="0" w:color="auto"/>
        <w:left w:val="none" w:sz="0" w:space="0" w:color="auto"/>
        <w:bottom w:val="none" w:sz="0" w:space="0" w:color="auto"/>
        <w:right w:val="none" w:sz="0" w:space="0" w:color="auto"/>
      </w:divBdr>
    </w:div>
    <w:div w:id="1868717025">
      <w:bodyDiv w:val="1"/>
      <w:marLeft w:val="0"/>
      <w:marRight w:val="0"/>
      <w:marTop w:val="0"/>
      <w:marBottom w:val="0"/>
      <w:divBdr>
        <w:top w:val="none" w:sz="0" w:space="0" w:color="auto"/>
        <w:left w:val="none" w:sz="0" w:space="0" w:color="auto"/>
        <w:bottom w:val="none" w:sz="0" w:space="0" w:color="auto"/>
        <w:right w:val="none" w:sz="0" w:space="0" w:color="auto"/>
      </w:divBdr>
    </w:div>
    <w:div w:id="1885412226">
      <w:bodyDiv w:val="1"/>
      <w:marLeft w:val="0"/>
      <w:marRight w:val="0"/>
      <w:marTop w:val="0"/>
      <w:marBottom w:val="0"/>
      <w:divBdr>
        <w:top w:val="none" w:sz="0" w:space="0" w:color="auto"/>
        <w:left w:val="none" w:sz="0" w:space="0" w:color="auto"/>
        <w:bottom w:val="none" w:sz="0" w:space="0" w:color="auto"/>
        <w:right w:val="none" w:sz="0" w:space="0" w:color="auto"/>
      </w:divBdr>
    </w:div>
    <w:div w:id="1912079119">
      <w:bodyDiv w:val="1"/>
      <w:marLeft w:val="0"/>
      <w:marRight w:val="0"/>
      <w:marTop w:val="0"/>
      <w:marBottom w:val="0"/>
      <w:divBdr>
        <w:top w:val="none" w:sz="0" w:space="0" w:color="auto"/>
        <w:left w:val="none" w:sz="0" w:space="0" w:color="auto"/>
        <w:bottom w:val="none" w:sz="0" w:space="0" w:color="auto"/>
        <w:right w:val="none" w:sz="0" w:space="0" w:color="auto"/>
      </w:divBdr>
    </w:div>
    <w:div w:id="1918007367">
      <w:bodyDiv w:val="1"/>
      <w:marLeft w:val="0"/>
      <w:marRight w:val="0"/>
      <w:marTop w:val="0"/>
      <w:marBottom w:val="0"/>
      <w:divBdr>
        <w:top w:val="none" w:sz="0" w:space="0" w:color="auto"/>
        <w:left w:val="none" w:sz="0" w:space="0" w:color="auto"/>
        <w:bottom w:val="none" w:sz="0" w:space="0" w:color="auto"/>
        <w:right w:val="none" w:sz="0" w:space="0" w:color="auto"/>
      </w:divBdr>
    </w:div>
    <w:div w:id="1921912439">
      <w:bodyDiv w:val="1"/>
      <w:marLeft w:val="0"/>
      <w:marRight w:val="0"/>
      <w:marTop w:val="0"/>
      <w:marBottom w:val="0"/>
      <w:divBdr>
        <w:top w:val="none" w:sz="0" w:space="0" w:color="auto"/>
        <w:left w:val="none" w:sz="0" w:space="0" w:color="auto"/>
        <w:bottom w:val="none" w:sz="0" w:space="0" w:color="auto"/>
        <w:right w:val="none" w:sz="0" w:space="0" w:color="auto"/>
      </w:divBdr>
    </w:div>
    <w:div w:id="1925147405">
      <w:bodyDiv w:val="1"/>
      <w:marLeft w:val="0"/>
      <w:marRight w:val="0"/>
      <w:marTop w:val="0"/>
      <w:marBottom w:val="0"/>
      <w:divBdr>
        <w:top w:val="none" w:sz="0" w:space="0" w:color="auto"/>
        <w:left w:val="none" w:sz="0" w:space="0" w:color="auto"/>
        <w:bottom w:val="none" w:sz="0" w:space="0" w:color="auto"/>
        <w:right w:val="none" w:sz="0" w:space="0" w:color="auto"/>
      </w:divBdr>
    </w:div>
    <w:div w:id="1944335083">
      <w:bodyDiv w:val="1"/>
      <w:marLeft w:val="0"/>
      <w:marRight w:val="0"/>
      <w:marTop w:val="0"/>
      <w:marBottom w:val="0"/>
      <w:divBdr>
        <w:top w:val="none" w:sz="0" w:space="0" w:color="auto"/>
        <w:left w:val="none" w:sz="0" w:space="0" w:color="auto"/>
        <w:bottom w:val="none" w:sz="0" w:space="0" w:color="auto"/>
        <w:right w:val="none" w:sz="0" w:space="0" w:color="auto"/>
      </w:divBdr>
    </w:div>
    <w:div w:id="1950311317">
      <w:bodyDiv w:val="1"/>
      <w:marLeft w:val="0"/>
      <w:marRight w:val="0"/>
      <w:marTop w:val="0"/>
      <w:marBottom w:val="0"/>
      <w:divBdr>
        <w:top w:val="none" w:sz="0" w:space="0" w:color="auto"/>
        <w:left w:val="none" w:sz="0" w:space="0" w:color="auto"/>
        <w:bottom w:val="none" w:sz="0" w:space="0" w:color="auto"/>
        <w:right w:val="none" w:sz="0" w:space="0" w:color="auto"/>
      </w:divBdr>
    </w:div>
    <w:div w:id="2011325294">
      <w:bodyDiv w:val="1"/>
      <w:marLeft w:val="0"/>
      <w:marRight w:val="0"/>
      <w:marTop w:val="0"/>
      <w:marBottom w:val="0"/>
      <w:divBdr>
        <w:top w:val="none" w:sz="0" w:space="0" w:color="auto"/>
        <w:left w:val="none" w:sz="0" w:space="0" w:color="auto"/>
        <w:bottom w:val="none" w:sz="0" w:space="0" w:color="auto"/>
        <w:right w:val="none" w:sz="0" w:space="0" w:color="auto"/>
      </w:divBdr>
    </w:div>
    <w:div w:id="2014064619">
      <w:bodyDiv w:val="1"/>
      <w:marLeft w:val="0"/>
      <w:marRight w:val="0"/>
      <w:marTop w:val="0"/>
      <w:marBottom w:val="0"/>
      <w:divBdr>
        <w:top w:val="none" w:sz="0" w:space="0" w:color="auto"/>
        <w:left w:val="none" w:sz="0" w:space="0" w:color="auto"/>
        <w:bottom w:val="none" w:sz="0" w:space="0" w:color="auto"/>
        <w:right w:val="none" w:sz="0" w:space="0" w:color="auto"/>
      </w:divBdr>
    </w:div>
    <w:div w:id="2016765540">
      <w:bodyDiv w:val="1"/>
      <w:marLeft w:val="0"/>
      <w:marRight w:val="0"/>
      <w:marTop w:val="0"/>
      <w:marBottom w:val="0"/>
      <w:divBdr>
        <w:top w:val="none" w:sz="0" w:space="0" w:color="auto"/>
        <w:left w:val="none" w:sz="0" w:space="0" w:color="auto"/>
        <w:bottom w:val="none" w:sz="0" w:space="0" w:color="auto"/>
        <w:right w:val="none" w:sz="0" w:space="0" w:color="auto"/>
      </w:divBdr>
    </w:div>
    <w:div w:id="2023044911">
      <w:bodyDiv w:val="1"/>
      <w:marLeft w:val="0"/>
      <w:marRight w:val="0"/>
      <w:marTop w:val="0"/>
      <w:marBottom w:val="0"/>
      <w:divBdr>
        <w:top w:val="none" w:sz="0" w:space="0" w:color="auto"/>
        <w:left w:val="none" w:sz="0" w:space="0" w:color="auto"/>
        <w:bottom w:val="none" w:sz="0" w:space="0" w:color="auto"/>
        <w:right w:val="none" w:sz="0" w:space="0" w:color="auto"/>
      </w:divBdr>
    </w:div>
    <w:div w:id="2043090910">
      <w:bodyDiv w:val="1"/>
      <w:marLeft w:val="0"/>
      <w:marRight w:val="0"/>
      <w:marTop w:val="0"/>
      <w:marBottom w:val="0"/>
      <w:divBdr>
        <w:top w:val="none" w:sz="0" w:space="0" w:color="auto"/>
        <w:left w:val="none" w:sz="0" w:space="0" w:color="auto"/>
        <w:bottom w:val="none" w:sz="0" w:space="0" w:color="auto"/>
        <w:right w:val="none" w:sz="0" w:space="0" w:color="auto"/>
      </w:divBdr>
    </w:div>
    <w:div w:id="2072458023">
      <w:bodyDiv w:val="1"/>
      <w:marLeft w:val="0"/>
      <w:marRight w:val="0"/>
      <w:marTop w:val="0"/>
      <w:marBottom w:val="0"/>
      <w:divBdr>
        <w:top w:val="none" w:sz="0" w:space="0" w:color="auto"/>
        <w:left w:val="none" w:sz="0" w:space="0" w:color="auto"/>
        <w:bottom w:val="none" w:sz="0" w:space="0" w:color="auto"/>
        <w:right w:val="none" w:sz="0" w:space="0" w:color="auto"/>
      </w:divBdr>
    </w:div>
    <w:div w:id="2119328196">
      <w:bodyDiv w:val="1"/>
      <w:marLeft w:val="0"/>
      <w:marRight w:val="0"/>
      <w:marTop w:val="0"/>
      <w:marBottom w:val="0"/>
      <w:divBdr>
        <w:top w:val="none" w:sz="0" w:space="0" w:color="auto"/>
        <w:left w:val="none" w:sz="0" w:space="0" w:color="auto"/>
        <w:bottom w:val="none" w:sz="0" w:space="0" w:color="auto"/>
        <w:right w:val="none" w:sz="0" w:space="0" w:color="auto"/>
      </w:divBdr>
    </w:div>
    <w:div w:id="2132094605">
      <w:bodyDiv w:val="1"/>
      <w:marLeft w:val="0"/>
      <w:marRight w:val="0"/>
      <w:marTop w:val="0"/>
      <w:marBottom w:val="0"/>
      <w:divBdr>
        <w:top w:val="none" w:sz="0" w:space="0" w:color="auto"/>
        <w:left w:val="none" w:sz="0" w:space="0" w:color="auto"/>
        <w:bottom w:val="none" w:sz="0" w:space="0" w:color="auto"/>
        <w:right w:val="none" w:sz="0" w:space="0" w:color="auto"/>
      </w:divBdr>
    </w:div>
    <w:div w:id="2136756761">
      <w:bodyDiv w:val="1"/>
      <w:marLeft w:val="0"/>
      <w:marRight w:val="0"/>
      <w:marTop w:val="0"/>
      <w:marBottom w:val="0"/>
      <w:divBdr>
        <w:top w:val="none" w:sz="0" w:space="0" w:color="auto"/>
        <w:left w:val="none" w:sz="0" w:space="0" w:color="auto"/>
        <w:bottom w:val="none" w:sz="0" w:space="0" w:color="auto"/>
        <w:right w:val="none" w:sz="0" w:space="0" w:color="auto"/>
      </w:divBdr>
    </w:div>
    <w:div w:id="2138644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chart" Target="charts/chart1.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programas/ccpv/202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I:\Mi%20unidad\04_PI-PE%202022\2022\Base%20Ingresos%202022%20CC%20(251021)(4.5)VF.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Mi%20unidad\04_PI-PE%202022\2022\Base%20Ingresos%202022%20CC%20(251021)(4.5)VF.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cap="none" spc="5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200" cap="none">
                <a:latin typeface="Arial" panose="020B0604020202020204" pitchFamily="34" charset="0"/>
                <a:cs typeface="Arial" panose="020B0604020202020204" pitchFamily="34" charset="0"/>
              </a:rPr>
              <a:t>Ingresos por Recursos Federales y Estatales</a:t>
            </a:r>
            <a:endParaRPr lang="en-US" sz="1200" cap="none">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cap="none" spc="5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2.4957458876914352E-2"/>
          <c:y val="0.11286829680811054"/>
          <c:w val="0.95008508224617128"/>
          <c:h val="0.77453581108597491"/>
        </c:manualLayout>
      </c:layout>
      <c:barChart>
        <c:barDir val="col"/>
        <c:grouping val="stacked"/>
        <c:varyColors val="0"/>
        <c:ser>
          <c:idx val="0"/>
          <c:order val="0"/>
          <c:tx>
            <c:strRef>
              <c:f>'T-Cuad'!$D$44</c:f>
              <c:strCache>
                <c:ptCount val="1"/>
                <c:pt idx="0">
                  <c:v>Recursos Federales y Estatales</c:v>
                </c:pt>
              </c:strCache>
            </c:strRef>
          </c:tx>
          <c:spPr>
            <a:solidFill>
              <a:schemeClr val="accent6">
                <a:alpha val="70000"/>
              </a:schemeClr>
            </a:solidFill>
            <a:ln>
              <a:solidFill>
                <a:schemeClr val="tx1"/>
              </a:solidFill>
            </a:ln>
            <a:effectLst/>
          </c:spPr>
          <c:invertIfNegative val="0"/>
          <c:dLbls>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'T-Cuad'!$C$45:$C$51</c:f>
              <c:numCache>
                <c:formatCode>General</c:formatCode>
                <c:ptCount val="5"/>
                <c:pt idx="0">
                  <c:v>2017</c:v>
                </c:pt>
                <c:pt idx="1">
                  <c:v>2018</c:v>
                </c:pt>
                <c:pt idx="2">
                  <c:v>2019</c:v>
                </c:pt>
                <c:pt idx="3">
                  <c:v>2020</c:v>
                </c:pt>
                <c:pt idx="4">
                  <c:v>2021</c:v>
                </c:pt>
              </c:numCache>
              <c:extLst/>
            </c:numRef>
          </c:cat>
          <c:val>
            <c:numRef>
              <c:f>'T-Cuad'!$D$45:$D$51</c:f>
              <c:numCache>
                <c:formatCode>_(* #,##0.00_);_(* \(#,##0.00\);_(* "-"??_);_(@_)</c:formatCode>
                <c:ptCount val="5"/>
                <c:pt idx="0">
                  <c:v>3375540574.9099998</c:v>
                </c:pt>
                <c:pt idx="1">
                  <c:v>3466386439.8000002</c:v>
                </c:pt>
                <c:pt idx="2">
                  <c:v>3902060469.02</c:v>
                </c:pt>
                <c:pt idx="3">
                  <c:v>3684777316.1699996</c:v>
                </c:pt>
                <c:pt idx="4">
                  <c:v>3637742772.0099993</c:v>
                </c:pt>
              </c:numCache>
              <c:extLst/>
            </c:numRef>
          </c:val>
          <c:extLst>
            <c:ext xmlns:c16="http://schemas.microsoft.com/office/drawing/2014/chart" uri="{C3380CC4-5D6E-409C-BE32-E72D297353CC}">
              <c16:uniqueId val="{00000000-E553-4091-810E-15816E30BBB4}"/>
            </c:ext>
          </c:extLst>
        </c:ser>
        <c:dLbls>
          <c:showLegendKey val="0"/>
          <c:showVal val="1"/>
          <c:showCatName val="0"/>
          <c:showSerName val="0"/>
          <c:showPercent val="0"/>
          <c:showBubbleSize val="0"/>
        </c:dLbls>
        <c:gapWidth val="95"/>
        <c:overlap val="100"/>
        <c:axId val="200041984"/>
        <c:axId val="200057216"/>
      </c:barChart>
      <c:catAx>
        <c:axId val="20004198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crossAx val="200057216"/>
        <c:crosses val="autoZero"/>
        <c:auto val="1"/>
        <c:lblAlgn val="ctr"/>
        <c:lblOffset val="100"/>
        <c:noMultiLvlLbl val="0"/>
      </c:catAx>
      <c:valAx>
        <c:axId val="200057216"/>
        <c:scaling>
          <c:orientation val="minMax"/>
        </c:scaling>
        <c:delete val="1"/>
        <c:axPos val="l"/>
        <c:numFmt formatCode="_(* #,##0.00_);_(* \(#,##0.00\);_(* &quot;-&quot;??_);_(@_)" sourceLinked="1"/>
        <c:majorTickMark val="none"/>
        <c:minorTickMark val="none"/>
        <c:tickLblPos val="nextTo"/>
        <c:crossAx val="200041984"/>
        <c:crosses val="autoZero"/>
        <c:crossBetween val="between"/>
        <c:dispUnits>
          <c:builtInUnit val="millions"/>
          <c:dispUnitsLbl>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40"/>
      <c:rotY val="10"/>
      <c:rAngAx val="0"/>
      <c:perspective val="2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768982824515357E-2"/>
          <c:y val="0.12639749104844322"/>
          <c:w val="0.91410821015794075"/>
          <c:h val="0.86648084324922658"/>
        </c:manualLayout>
      </c:layout>
      <c:pie3DChart>
        <c:varyColors val="1"/>
        <c:ser>
          <c:idx val="0"/>
          <c:order val="0"/>
          <c:tx>
            <c:strRef>
              <c:f>'T-Cuad'!$K$112</c:f>
              <c:strCache>
                <c:ptCount val="1"/>
                <c:pt idx="0">
                  <c:v>Presupuesto 2022</c:v>
                </c:pt>
              </c:strCache>
            </c:strRef>
          </c:tx>
          <c:explosion val="9"/>
          <c:dPt>
            <c:idx val="0"/>
            <c:bubble3D val="0"/>
            <c:spPr>
              <a:solidFill>
                <a:schemeClr val="accent6">
                  <a:shade val="53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894-4498-A8EF-F5A8003ED269}"/>
              </c:ext>
            </c:extLst>
          </c:dPt>
          <c:dPt>
            <c:idx val="1"/>
            <c:bubble3D val="0"/>
            <c:spPr>
              <a:solidFill>
                <a:schemeClr val="accent6">
                  <a:shade val="76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894-4498-A8EF-F5A8003ED269}"/>
              </c:ext>
            </c:extLst>
          </c:dPt>
          <c:dPt>
            <c:idx val="2"/>
            <c:bubble3D val="0"/>
            <c:spPr>
              <a:solidFill>
                <a:schemeClr val="accent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A79B-490C-8FCB-18451B7033A0}"/>
              </c:ext>
            </c:extLst>
          </c:dPt>
          <c:dPt>
            <c:idx val="3"/>
            <c:bubble3D val="0"/>
            <c:spPr>
              <a:solidFill>
                <a:schemeClr val="accent6">
                  <a:tint val="77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79B-490C-8FCB-18451B7033A0}"/>
              </c:ext>
            </c:extLst>
          </c:dPt>
          <c:dPt>
            <c:idx val="4"/>
            <c:bubble3D val="0"/>
            <c:spPr>
              <a:solidFill>
                <a:schemeClr val="accent6">
                  <a:tint val="54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A79B-490C-8FCB-18451B7033A0}"/>
              </c:ext>
            </c:extLst>
          </c:dPt>
          <c:dLbls>
            <c:dLbl>
              <c:idx val="2"/>
              <c:layout>
                <c:manualLayout>
                  <c:x val="-0.27941664598515442"/>
                  <c:y val="0.1120579012336213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79B-490C-8FCB-18451B7033A0}"/>
                </c:ext>
              </c:extLst>
            </c:dLbl>
            <c:dLbl>
              <c:idx val="3"/>
              <c:layout>
                <c:manualLayout>
                  <c:x val="-0.18861583091587236"/>
                  <c:y val="1.4399637744962387E-3"/>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fld id="{47A10248-F74F-4299-AC54-5915504653F8}" type="CATEGORYNAME">
                      <a:rPr lang="en-US" sz="800"/>
                      <a:pPr>
                        <a:defRPr sz="800" b="1">
                          <a:latin typeface="Arial" panose="020B0604020202020204" pitchFamily="34" charset="0"/>
                          <a:cs typeface="Arial" panose="020B0604020202020204" pitchFamily="34" charset="0"/>
                        </a:defRPr>
                      </a:pPr>
                      <a:t>[NOMBRE DE CATEGORÍA]</a:t>
                    </a:fld>
                    <a:r>
                      <a:rPr lang="en-US" sz="800" baseline="0"/>
                      <a:t>
</a:t>
                    </a:r>
                    <a:fld id="{2A682A09-83C5-48DC-8F9F-3F80B04DDC2D}" type="PERCENTAGE">
                      <a:rPr lang="en-US" sz="800" baseline="0"/>
                      <a:pPr>
                        <a:defRPr sz="800" b="1">
                          <a:latin typeface="Arial" panose="020B0604020202020204" pitchFamily="34" charset="0"/>
                          <a:cs typeface="Arial" panose="020B0604020202020204" pitchFamily="34" charset="0"/>
                        </a:defRPr>
                      </a:pPr>
                      <a:t>[PORCENTAJE]</a:t>
                    </a:fld>
                    <a:endParaRPr lang="en-US" sz="800" baseline="0"/>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0"/>
              <c:showCatName val="1"/>
              <c:showSerName val="0"/>
              <c:showPercent val="1"/>
              <c:showBubbleSize val="0"/>
              <c:extLst>
                <c:ext xmlns:c15="http://schemas.microsoft.com/office/drawing/2012/chart" uri="{CE6537A1-D6FC-4f65-9D91-7224C49458BB}">
                  <c15:layout>
                    <c:manualLayout>
                      <c:w val="0.2177650429799427"/>
                      <c:h val="0.17234664070107109"/>
                    </c:manualLayout>
                  </c15:layout>
                  <c15:dlblFieldTable/>
                  <c15:showDataLabelsRange val="0"/>
                </c:ext>
                <c:ext xmlns:c16="http://schemas.microsoft.com/office/drawing/2014/chart" uri="{C3380CC4-5D6E-409C-BE32-E72D297353CC}">
                  <c16:uniqueId val="{00000001-A79B-490C-8FCB-18451B7033A0}"/>
                </c:ext>
              </c:extLst>
            </c:dLbl>
            <c:dLbl>
              <c:idx val="4"/>
              <c:layout>
                <c:manualLayout>
                  <c:x val="0.2241788460652944"/>
                  <c:y val="2.0815912387948304E-2"/>
                </c:manualLayout>
              </c:layout>
              <c:tx>
                <c:rich>
                  <a:bodyPr rot="0" spcFirstLastPara="1" vertOverflow="ellipsis" vert="horz" wrap="square" lIns="38100" tIns="19050" rIns="38100" bIns="19050" anchor="ctr" anchorCtr="1">
                    <a:noAutofit/>
                  </a:bodyPr>
                  <a:lstStyle/>
                  <a:p>
                    <a:pPr>
                      <a:defRPr sz="700" b="1" i="0" u="none" strike="noStrike" kern="1200" baseline="0">
                        <a:solidFill>
                          <a:schemeClr val="dk1"/>
                        </a:solidFill>
                        <a:latin typeface="Arial" panose="020B0604020202020204" pitchFamily="34" charset="0"/>
                        <a:ea typeface="+mn-ea"/>
                        <a:cs typeface="Arial" panose="020B0604020202020204" pitchFamily="34" charset="0"/>
                      </a:defRPr>
                    </a:pPr>
                    <a:fld id="{A409062A-22A2-4720-9C22-BEE2E298A0FA}" type="CATEGORYNAME">
                      <a:rPr lang="en-US" sz="700" b="1">
                        <a:latin typeface="Arial" panose="020B0604020202020204" pitchFamily="34" charset="0"/>
                        <a:cs typeface="Arial" panose="020B0604020202020204" pitchFamily="34" charset="0"/>
                      </a:rPr>
                      <a:pPr>
                        <a:defRPr sz="700" b="1">
                          <a:latin typeface="Arial" panose="020B0604020202020204" pitchFamily="34" charset="0"/>
                          <a:cs typeface="Arial" panose="020B0604020202020204" pitchFamily="34" charset="0"/>
                        </a:defRPr>
                      </a:pPr>
                      <a:t>[NOMBRE DE CATEGORÍA]</a:t>
                    </a:fld>
                    <a:r>
                      <a:rPr lang="en-US" sz="700" b="1" baseline="0">
                        <a:latin typeface="Arial" panose="020B0604020202020204" pitchFamily="34" charset="0"/>
                        <a:cs typeface="Arial" panose="020B0604020202020204" pitchFamily="34" charset="0"/>
                      </a:rPr>
                      <a:t>
</a:t>
                    </a:r>
                    <a:fld id="{F63B4876-E7A6-4781-A378-E5EEB40023B5}" type="PERCENTAGE">
                      <a:rPr lang="en-US" sz="700" b="1" baseline="0">
                        <a:latin typeface="Arial" panose="020B0604020202020204" pitchFamily="34" charset="0"/>
                        <a:cs typeface="Arial" panose="020B0604020202020204" pitchFamily="34" charset="0"/>
                      </a:rPr>
                      <a:pPr>
                        <a:defRPr sz="700" b="1">
                          <a:latin typeface="Arial" panose="020B0604020202020204" pitchFamily="34" charset="0"/>
                          <a:cs typeface="Arial" panose="020B0604020202020204" pitchFamily="34" charset="0"/>
                        </a:defRPr>
                      </a:pPr>
                      <a:t>[PORCENTAJE]</a:t>
                    </a:fld>
                    <a:endParaRPr lang="en-US" sz="700" b="1" baseline="0">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dk1"/>
                      </a:solidFill>
                      <a:latin typeface="Arial" panose="020B0604020202020204" pitchFamily="34" charset="0"/>
                      <a:ea typeface="+mn-ea"/>
                      <a:cs typeface="Arial" panose="020B0604020202020204" pitchFamily="34" charset="0"/>
                    </a:defRPr>
                  </a:pPr>
                  <a:endParaRPr lang="es-MX"/>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30951298422940687"/>
                      <c:h val="0.21314523610546735"/>
                    </c:manualLayout>
                  </c15:layout>
                  <c15:dlblFieldTable/>
                  <c15:showDataLabelsRange val="0"/>
                </c:ext>
                <c:ext xmlns:c16="http://schemas.microsoft.com/office/drawing/2014/chart" uri="{C3380CC4-5D6E-409C-BE32-E72D297353CC}">
                  <c16:uniqueId val="{00000002-A79B-490C-8FCB-18451B7033A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'T-Cuad'!$C$120:$C$124</c:f>
              <c:strCache>
                <c:ptCount val="5"/>
                <c:pt idx="0">
                  <c:v>Participaciones</c:v>
                </c:pt>
                <c:pt idx="1">
                  <c:v>Aportaciones</c:v>
                </c:pt>
                <c:pt idx="2">
                  <c:v>Convenios</c:v>
                </c:pt>
                <c:pt idx="3">
                  <c:v>Incentivos de Colaboración Fiscal</c:v>
                </c:pt>
                <c:pt idx="4">
                  <c:v>Transferencias, Asignaciones, Subsidios y otras Ayudas</c:v>
                </c:pt>
              </c:strCache>
            </c:strRef>
          </c:cat>
          <c:val>
            <c:numRef>
              <c:f>'T-Cuad'!$K$120:$K$124</c:f>
              <c:numCache>
                <c:formatCode>"$"#,##0.00_);[Red]\("$"#,##0.00\)</c:formatCode>
                <c:ptCount val="5"/>
                <c:pt idx="0">
                  <c:v>2622931385.48</c:v>
                </c:pt>
                <c:pt idx="1">
                  <c:v>871492539.91000009</c:v>
                </c:pt>
                <c:pt idx="2">
                  <c:v>60000000</c:v>
                </c:pt>
                <c:pt idx="3">
                  <c:v>58186448.660000004</c:v>
                </c:pt>
                <c:pt idx="4">
                  <c:v>76226930.909999996</c:v>
                </c:pt>
              </c:numCache>
            </c:numRef>
          </c:val>
          <c:extLst>
            <c:ext xmlns:c16="http://schemas.microsoft.com/office/drawing/2014/chart" uri="{C3380CC4-5D6E-409C-BE32-E72D297353CC}">
              <c16:uniqueId val="{00000000-5E26-43D5-98DA-0B039C874955}"/>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lumMod val="85000"/>
      </a:schemeClr>
    </a:solidFill>
    <a:ln w="9525" cap="flat" cmpd="sng" algn="ctr">
      <a:solidFill>
        <a:schemeClr val="tx1">
          <a:tint val="75000"/>
          <a:shade val="95000"/>
          <a:satMod val="105000"/>
        </a:schemeClr>
      </a:solidFill>
      <a:prstDash val="solid"/>
      <a:round/>
    </a:ln>
    <a:effectLst/>
    <a:scene3d>
      <a:camera prst="orthographicFront"/>
      <a:lightRig rig="threePt" dir="t"/>
    </a:scene3d>
    <a:sp3d prstMaterial="metal"/>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12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9D602-18B2-4261-B9F2-20D1E3763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23580</Words>
  <Characters>129691</Characters>
  <Application>Microsoft Office Word</Application>
  <DocSecurity>0</DocSecurity>
  <Lines>1080</Lines>
  <Paragraphs>305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Planeación Presupuestal</dc:creator>
  <cp:lastModifiedBy>Ana Cristina Garza Sauza</cp:lastModifiedBy>
  <cp:revision>2</cp:revision>
  <cp:lastPrinted>2021-11-13T00:17:00Z</cp:lastPrinted>
  <dcterms:created xsi:type="dcterms:W3CDTF">2021-11-24T16:34:00Z</dcterms:created>
  <dcterms:modified xsi:type="dcterms:W3CDTF">2021-11-24T16:34:00Z</dcterms:modified>
</cp:coreProperties>
</file>